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FC" w:rsidRDefault="006639FC" w:rsidP="006639FC">
      <w:pPr>
        <w:jc w:val="left"/>
        <w:rPr>
          <w:rFonts w:hint="eastAsia"/>
          <w:b/>
          <w:bCs/>
          <w:sz w:val="44"/>
          <w:szCs w:val="44"/>
        </w:rPr>
      </w:pPr>
      <w:r>
        <w:rPr>
          <w:rFonts w:hint="eastAsia"/>
          <w:b/>
          <w:bCs/>
          <w:sz w:val="44"/>
          <w:szCs w:val="44"/>
        </w:rPr>
        <w:t>附件</w:t>
      </w:r>
      <w:r>
        <w:rPr>
          <w:rFonts w:hint="eastAsia"/>
          <w:b/>
          <w:bCs/>
          <w:sz w:val="44"/>
          <w:szCs w:val="44"/>
        </w:rPr>
        <w:t>2</w:t>
      </w:r>
    </w:p>
    <w:p w:rsidR="006639FC" w:rsidRDefault="006639FC" w:rsidP="006639FC">
      <w:pPr>
        <w:spacing w:line="400" w:lineRule="exact"/>
        <w:jc w:val="center"/>
        <w:rPr>
          <w:rFonts w:ascii="宋体" w:hAnsi="宋体" w:cs="宋体" w:hint="eastAsia"/>
          <w:b/>
          <w:sz w:val="36"/>
          <w:szCs w:val="36"/>
        </w:rPr>
      </w:pPr>
      <w:r>
        <w:rPr>
          <w:rFonts w:ascii="宋体" w:hAnsi="宋体" w:cs="宋体" w:hint="eastAsia"/>
          <w:b/>
          <w:sz w:val="36"/>
          <w:szCs w:val="36"/>
        </w:rPr>
        <w:t>重大执法决定法制审核目录清单</w:t>
      </w:r>
    </w:p>
    <w:p w:rsidR="006639FC" w:rsidRDefault="006639FC" w:rsidP="006639FC">
      <w:pPr>
        <w:spacing w:line="400" w:lineRule="exact"/>
        <w:rPr>
          <w:rFonts w:ascii="仿宋" w:eastAsia="仿宋" w:hAnsi="仿宋"/>
          <w:sz w:val="32"/>
          <w:szCs w:val="32"/>
        </w:rPr>
      </w:pPr>
    </w:p>
    <w:tbl>
      <w:tblPr>
        <w:tblW w:w="0" w:type="auto"/>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391"/>
        <w:gridCol w:w="2120"/>
        <w:gridCol w:w="5972"/>
        <w:gridCol w:w="765"/>
        <w:gridCol w:w="570"/>
      </w:tblGrid>
      <w:tr w:rsidR="006639FC" w:rsidTr="00032894">
        <w:trPr>
          <w:trHeight w:val="78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序号</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审核事项</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实施依据</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事项类别</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备注</w:t>
            </w:r>
          </w:p>
        </w:tc>
      </w:tr>
      <w:tr w:rsidR="006639FC" w:rsidTr="00032894">
        <w:trPr>
          <w:trHeight w:val="307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对买卖或以其它形式非法转让土地的行政处罚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《中华人民共和国土地管理法实施条例》第三十八条:“依照《土地管理法》第七十三条的规定处以罚款的，罚款额为非法所得的50%以下”。</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89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2</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对违法占用耕地建窑、建坟或者擅自在耕地上建房、挖砂、采石、采矿、取土等，破坏种植条件的，或者因开发土地造成荒漠化、盐渍化的行政处罚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00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3</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对未经批准或者采取欺骗手段骗取批准，非法占用土地的行政处罚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53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4</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对依法收回国有土地使用权当事人拒不交出土地，临时使用土地期满拒不归还的，或者不按照批准的用途使用国有土地的行政处罚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33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5</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对拒不履行土地复垦义务的行政处罚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41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6</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对擅自将农民集体所有的集体土地所有权出让、转让或者出租用于非农业建设的行政处罚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205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7</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对建设项目施工和地质勘查需要临时占用耕地拒不恢复种植条件的行政处罚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《中华人民共和国土地管理法实施条例》第二十八条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建设项目施工和地质勘查需要临时占用耕地的，土地使用者应当自临时用地期满之日起１年内恢复种植条件。</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《中华人民共和国土地管理法实施条例》第四十四条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违反本条例第二十八条的规定，逾期不恢复种植条件的，由县级以上人民政府土地行政主管部门责令限期改正，可以处耕地复垦费２倍以下的罚款。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42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8</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对违反规定在土地利用总体规划确定的禁止开垦区内进行开垦的等非法使用农用地的行政处罚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66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9</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对在土地利用总体规划制定前已建的不符合土地利用总体规划确定的用途的建筑物、构筑物重建、扩建的行政处罚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《中华人民共和国土地管理法实施条例》第三十六条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对在土地利用总体规划制定前已建的不符合土地利用总体规划确定的用途的建筑物、构筑物重建、扩建的，由县级以上人民政府土地行政主管部门责令限期拆除；逾期不拆除的，由</w:t>
            </w:r>
            <w:proofErr w:type="gramStart"/>
            <w:r>
              <w:rPr>
                <w:rFonts w:ascii="仿宋" w:eastAsia="仿宋" w:hAnsi="仿宋" w:cs="宋体" w:hint="eastAsia"/>
                <w:color w:val="333333"/>
                <w:kern w:val="0"/>
                <w:szCs w:val="21"/>
              </w:rPr>
              <w:t>作出</w:t>
            </w:r>
            <w:proofErr w:type="gramEnd"/>
            <w:r>
              <w:rPr>
                <w:rFonts w:ascii="仿宋" w:eastAsia="仿宋" w:hAnsi="仿宋" w:cs="宋体" w:hint="eastAsia"/>
                <w:color w:val="333333"/>
                <w:kern w:val="0"/>
                <w:szCs w:val="21"/>
              </w:rPr>
              <w:t>处罚决定的机关依法申请人民法院强制执行。</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99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10</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对未经批准擅自转让、出租、抵押划拨土地使用权行为的行政处罚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ascii="仿宋" w:eastAsia="仿宋" w:hAnsi="仿宋" w:cs="宋体" w:hint="eastAsia"/>
                <w:color w:val="333333"/>
                <w:kern w:val="0"/>
                <w:szCs w:val="21"/>
              </w:rPr>
              <w:br/>
              <w:t>《城乡国有土地使用权出让和转让暂行条例》第四十六条　对未经批准擅自转让、出租、抵押划拨土地使用权的单位和个人，市、县人民政府土地管理部门应当没收其非法收入，并根据情节处以罚款。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438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11</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对未取得采矿许可证擅自采矿的行政处罚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单位和个人进入他人依法设立的国有矿山企业和其他矿山企业矿区范围内采矿的，依照前款规定处罚。</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18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12</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对超越批准的矿区范围采矿的行政处罚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ascii="仿宋" w:eastAsia="仿宋" w:hAnsi="仿宋" w:cs="宋体" w:hint="eastAsia"/>
                <w:color w:val="333333"/>
                <w:kern w:val="0"/>
                <w:szCs w:val="21"/>
              </w:rPr>
              <w:b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微软雅黑" w:eastAsia="仿宋" w:hAnsi="微软雅黑"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500"/>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13</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对破坏或擅自移动矿区范围界桩或地面标志的行政处罚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54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14</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对擅自印制或伪造采矿许可证的行政处罚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214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15</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对采取破坏性开采方法采矿行为的行政处罚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w:t>
            </w:r>
            <w:r>
              <w:rPr>
                <w:rFonts w:ascii="仿宋" w:eastAsia="仿宋" w:hAnsi="仿宋" w:cs="宋体" w:hint="eastAsia"/>
                <w:color w:val="333333"/>
                <w:kern w:val="0"/>
                <w:szCs w:val="21"/>
              </w:rPr>
              <w:lastRenderedPageBreak/>
              <w:t>以罚款的，分别按照下列规定执行：</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032894">
        <w:trPr>
          <w:trHeight w:val="1335"/>
        </w:trPr>
        <w:tc>
          <w:tcPr>
            <w:tcW w:w="3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16</w:t>
            </w:r>
          </w:p>
        </w:tc>
        <w:tc>
          <w:tcPr>
            <w:tcW w:w="21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对非法转让矿产资源（采矿权）的行政处罚</w:t>
            </w:r>
          </w:p>
        </w:tc>
        <w:tc>
          <w:tcPr>
            <w:tcW w:w="59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《中华人民共和国矿产资源法》第六条 除按下列规定可以转让外，探矿权、采矿权不得转让：(</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前款规定的具体办法和实施步骤由国务院规定。</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禁止将探矿权、采矿权倒卖牟利。</w:t>
            </w:r>
          </w:p>
          <w:p w:rsidR="006639FC" w:rsidRDefault="006639FC" w:rsidP="00032894">
            <w:pPr>
              <w:widowControl/>
              <w:spacing w:line="400" w:lineRule="exact"/>
              <w:rPr>
                <w:rFonts w:ascii="仿宋" w:eastAsia="仿宋" w:hAnsi="仿宋" w:cs="宋体" w:hint="eastAsia"/>
                <w:color w:val="333333"/>
                <w:kern w:val="0"/>
                <w:szCs w:val="21"/>
              </w:rPr>
            </w:pPr>
            <w:r>
              <w:rPr>
                <w:rFonts w:ascii="仿宋" w:eastAsia="仿宋" w:hAnsi="仿宋" w:cs="宋体" w:hint="eastAsia"/>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ascii="仿宋" w:eastAsia="仿宋" w:hAnsi="仿宋" w:cs="宋体" w:hint="eastAsia"/>
                <w:color w:val="333333"/>
                <w:kern w:val="0"/>
                <w:szCs w:val="21"/>
              </w:rPr>
              <w:br/>
              <w:t>《矿产资源法实施细则》第四十二条依照《矿产资源法》第三十九条、第四十条、第四十二条、第四十三条、第四十四条规定处以罚款的，分别按照下列规定执行：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w:t>
            </w:r>
            <w:r>
              <w:rPr>
                <w:rFonts w:ascii="仿宋" w:eastAsia="仿宋" w:hAnsi="仿宋" w:cs="宋体" w:hint="eastAsia"/>
                <w:color w:val="333333"/>
                <w:kern w:val="0"/>
                <w:szCs w:val="21"/>
              </w:rPr>
              <w:lastRenderedPageBreak/>
              <w:t>的罚款；(三)买卖、出租或者以其他形式转让矿产资源的，买卖、出租采矿权的，对卖方、出租方、出让方处以违法所得一倍以下的罚款。</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bl>
    <w:p w:rsidR="000C2068" w:rsidRDefault="006639FC" w:rsidP="006639FC">
      <w:bookmarkStart w:id="0" w:name="_GoBack"/>
      <w:bookmarkEnd w:id="0"/>
    </w:p>
    <w:sectPr w:rsidR="000C2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FC"/>
    <w:rsid w:val="0026332A"/>
    <w:rsid w:val="00567825"/>
    <w:rsid w:val="006639FC"/>
    <w:rsid w:val="00BE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2F4A"/>
  <w15:chartTrackingRefBased/>
  <w15:docId w15:val="{6211BC17-DA95-4CB9-AB43-E8FE6B62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9F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LWJ</cp:lastModifiedBy>
  <cp:revision>1</cp:revision>
  <dcterms:created xsi:type="dcterms:W3CDTF">2020-12-09T11:28:00Z</dcterms:created>
  <dcterms:modified xsi:type="dcterms:W3CDTF">2020-12-09T11:29:00Z</dcterms:modified>
</cp:coreProperties>
</file>