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28"/>
          <w:szCs w:val="28"/>
        </w:rPr>
      </w:pPr>
      <w:r>
        <w:rPr>
          <w:rFonts w:hint="eastAsia" w:asciiTheme="minorEastAsia" w:hAnsiTheme="minorEastAsia"/>
          <w:sz w:val="28"/>
          <w:szCs w:val="28"/>
        </w:rPr>
        <w:t>附件2</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7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8522" w:type="dxa"/>
            <w:gridSpan w:val="2"/>
            <w:tcBorders>
              <w:top w:val="nil"/>
              <w:left w:val="nil"/>
              <w:right w:val="nil"/>
            </w:tcBorders>
          </w:tcPr>
          <w:p>
            <w:pPr>
              <w:widowControl/>
              <w:jc w:val="center"/>
              <w:rPr>
                <w:rFonts w:ascii="宋体" w:hAnsi="宋体" w:eastAsia="宋体" w:cs="宋体"/>
                <w:b/>
                <w:kern w:val="0"/>
                <w:sz w:val="44"/>
                <w:szCs w:val="44"/>
              </w:rPr>
            </w:pPr>
            <w:r>
              <w:rPr>
                <w:rFonts w:hint="eastAsia" w:ascii="宋体" w:hAnsi="宋体" w:eastAsia="宋体" w:cs="宋体"/>
                <w:b/>
                <w:kern w:val="0"/>
                <w:sz w:val="44"/>
                <w:szCs w:val="44"/>
              </w:rPr>
              <w:t>龙泉市</w:t>
            </w:r>
            <w:r>
              <w:rPr>
                <w:rFonts w:hint="eastAsia" w:ascii="宋体" w:hAnsi="宋体" w:eastAsia="宋体" w:cs="宋体"/>
                <w:b/>
                <w:kern w:val="0"/>
                <w:sz w:val="44"/>
                <w:szCs w:val="44"/>
                <w:lang w:eastAsia="zh-CN"/>
              </w:rPr>
              <w:t>发改</w:t>
            </w:r>
            <w:r>
              <w:rPr>
                <w:rFonts w:hint="eastAsia" w:ascii="宋体" w:hAnsi="宋体" w:eastAsia="宋体" w:cs="宋体"/>
                <w:b/>
                <w:kern w:val="0"/>
                <w:sz w:val="44"/>
                <w:szCs w:val="44"/>
              </w:rPr>
              <w:t>局行政执法依据目录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569"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序</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号</w:t>
            </w:r>
          </w:p>
        </w:tc>
        <w:tc>
          <w:tcPr>
            <w:tcW w:w="7953"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执法依据名称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trPr>
        <w:tc>
          <w:tcPr>
            <w:tcW w:w="569" w:type="dxa"/>
            <w:vAlign w:val="center"/>
          </w:tcPr>
          <w:p>
            <w:pPr>
              <w:pStyle w:val="9"/>
              <w:widowControl/>
              <w:numPr>
                <w:ilvl w:val="0"/>
                <w:numId w:val="1"/>
              </w:numPr>
              <w:ind w:firstLineChars="0"/>
              <w:jc w:val="right"/>
              <w:rPr>
                <w:rFonts w:hint="eastAsia" w:cs="宋体" w:asciiTheme="minorEastAsia" w:hAnsiTheme="minorEastAsia" w:eastAsiaTheme="minorEastAsia"/>
                <w:kern w:val="0"/>
                <w:sz w:val="21"/>
                <w:szCs w:val="21"/>
                <w:lang w:val="en-US" w:eastAsia="zh-CN" w:bidi="ar-SA"/>
              </w:rPr>
            </w:pPr>
          </w:p>
        </w:tc>
        <w:tc>
          <w:tcPr>
            <w:tcW w:w="7953" w:type="dxa"/>
            <w:shd w:val="clear" w:color="auto" w:fill="auto"/>
            <w:vAlign w:val="center"/>
          </w:tcPr>
          <w:p>
            <w:pPr>
              <w:widowControl/>
              <w:jc w:val="lef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《浙江省价格条例》第三十六条 经营者违反本条例第十九条第一款规定，拒绝提供定价成本监审所需资料或者提供虚假资料的，由价格主管部门责令限期改正;逾期不改正的，处一万元以上五万元以下罚款。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trPr>
        <w:tc>
          <w:tcPr>
            <w:tcW w:w="569" w:type="dxa"/>
            <w:tcBorders>
              <w:top w:val="single" w:color="auto" w:sz="4" w:space="0"/>
              <w:left w:val="single" w:color="auto" w:sz="4" w:space="0"/>
              <w:bottom w:val="single" w:color="auto" w:sz="4" w:space="0"/>
              <w:right w:val="single" w:color="auto" w:sz="4" w:space="0"/>
            </w:tcBorders>
            <w:vAlign w:val="center"/>
          </w:tcPr>
          <w:p>
            <w:pPr>
              <w:pStyle w:val="9"/>
              <w:widowControl/>
              <w:numPr>
                <w:ilvl w:val="0"/>
                <w:numId w:val="1"/>
              </w:numPr>
              <w:ind w:firstLineChars="0"/>
              <w:jc w:val="right"/>
              <w:rPr>
                <w:rFonts w:ascii="宋体" w:hAnsi="宋体" w:eastAsia="宋体" w:cs="宋体"/>
                <w:kern w:val="0"/>
                <w:sz w:val="20"/>
                <w:szCs w:val="20"/>
              </w:rPr>
            </w:pPr>
          </w:p>
        </w:tc>
        <w:tc>
          <w:tcPr>
            <w:tcW w:w="79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《浙江省价格条例》第十九条第一款 制定依法实行定价听证的商品和服务价格以及其他实行政府指导价、政府定价的重要商品和服务价格前，价格主管部门应当开展定价成本监审。有关经营者应当如实提供相关资料，不得拒绝或者弄虚作假。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rPr>
        <w:tc>
          <w:tcPr>
            <w:tcW w:w="569" w:type="dxa"/>
            <w:vAlign w:val="center"/>
          </w:tcPr>
          <w:p>
            <w:pPr>
              <w:pStyle w:val="9"/>
              <w:widowControl/>
              <w:numPr>
                <w:ilvl w:val="0"/>
                <w:numId w:val="1"/>
              </w:numPr>
              <w:ind w:firstLineChars="0"/>
              <w:jc w:val="right"/>
              <w:rPr>
                <w:rFonts w:ascii="宋体" w:hAnsi="宋体" w:eastAsia="宋体" w:cs="宋体"/>
                <w:kern w:val="0"/>
                <w:sz w:val="20"/>
                <w:szCs w:val="20"/>
              </w:rPr>
            </w:pPr>
          </w:p>
        </w:tc>
        <w:tc>
          <w:tcPr>
            <w:tcW w:w="7953" w:type="dxa"/>
            <w:shd w:val="clear" w:color="auto" w:fill="auto"/>
            <w:vAlign w:val="center"/>
          </w:tcPr>
          <w:p>
            <w:pPr>
              <w:widowControl/>
              <w:jc w:val="left"/>
              <w:rPr>
                <w:rFonts w:cs="宋体" w:asciiTheme="minorEastAsia" w:hAnsiTheme="minorEastAsia"/>
                <w:b/>
                <w:bCs/>
                <w:kern w:val="0"/>
                <w:szCs w:val="21"/>
              </w:rPr>
            </w:pPr>
            <w:r>
              <w:rPr>
                <w:rFonts w:hint="eastAsia" w:cs="宋体" w:asciiTheme="minorEastAsia" w:hAnsiTheme="minorEastAsia"/>
                <w:kern w:val="0"/>
                <w:szCs w:val="21"/>
              </w:rPr>
              <w:t>《中华人民共和国节约能源法》第十二条:县级以上人民政府管理节能工作的部门和有关部门应当在各自的职责范围内，加强对节能法律、法规和节能标准执行情况的监督检查，依法查处违法用能行为。履行节能监督管理职责不得向监督管理对象收取费用。 2、《节能监察办法》（国家发展和改革委员会令第33号）第三条：国家发展和改革委员会负责全国节能监察工作的统筹协调和指导。县级以上地方人民政府管理节能工作的部门负责本行政区域内节能监察工作的统筹协调和指导。 3、《浙江省实施&lt;中华人民共和国节约能源法&gt;办法》第十条：能源监察机构应当按照规定职责，加强节能监察，履行下列职责：（一）监督检查能源生产、经营单位和用能单位执行节能法律、法规、规章和节能标准情况；（二）核查重点用能单位的能源利用状况，监督落实节能措施；（三）受理能源利用违法行为的举报、投诉；（四）依法查处能源利用违法行为；（五）法律、法规和规章规定的其他监察工作。 4、《浙江省节能监察办法》第四条：县级以上人民政府管理节能工作的部门（以下简称节能主管部门）主管本行政区域内的节能监察工作。县级以上人民政府有关部门应当在各自职责范围内配合做好节能监察工作。县级以上能源监察机构具体负责本行政区域内的节能监察工作，履行《浙江省实施〈中华人民共和国节约能源法〉办法》和本办法规定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569" w:type="dxa"/>
            <w:vAlign w:val="center"/>
          </w:tcPr>
          <w:p>
            <w:pPr>
              <w:pStyle w:val="9"/>
              <w:widowControl/>
              <w:numPr>
                <w:ilvl w:val="0"/>
                <w:numId w:val="1"/>
              </w:numPr>
              <w:spacing w:after="240"/>
              <w:ind w:firstLineChars="0"/>
              <w:jc w:val="right"/>
              <w:rPr>
                <w:rFonts w:ascii="宋体" w:hAnsi="宋体" w:eastAsia="宋体" w:cs="宋体"/>
                <w:kern w:val="0"/>
                <w:sz w:val="20"/>
                <w:szCs w:val="20"/>
              </w:rPr>
            </w:pPr>
          </w:p>
        </w:tc>
        <w:tc>
          <w:tcPr>
            <w:tcW w:w="7953" w:type="dxa"/>
            <w:shd w:val="clear" w:color="auto" w:fill="auto"/>
            <w:vAlign w:val="center"/>
          </w:tcPr>
          <w:p>
            <w:pPr>
              <w:widowControl/>
              <w:spacing w:after="240"/>
              <w:jc w:val="left"/>
              <w:rPr>
                <w:rFonts w:cs="宋体" w:asciiTheme="minorEastAsia" w:hAnsiTheme="minorEastAsia"/>
                <w:kern w:val="0"/>
                <w:szCs w:val="21"/>
              </w:rPr>
            </w:pPr>
            <w:r>
              <w:rPr>
                <w:rFonts w:hint="eastAsia" w:cs="宋体" w:asciiTheme="minorEastAsia" w:hAnsiTheme="minorEastAsia"/>
                <w:kern w:val="0"/>
                <w:szCs w:val="21"/>
              </w:rPr>
              <w:t>《粮食流通管理条例》第三十四条：粮食行政管理部门依照本条例对粮食经营者从事粮食收购、储存、运输活动和政策性用粮的购销活动，以及执行国家粮食流通统计制度的情况进行监督检查。 粮食行政管理部门应当根据国家要求对粮食收购资格进行核查。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569" w:type="dxa"/>
            <w:vAlign w:val="center"/>
          </w:tcPr>
          <w:p>
            <w:pPr>
              <w:widowControl/>
              <w:spacing w:after="240"/>
              <w:jc w:val="left"/>
              <w:rPr>
                <w:rFonts w:ascii="宋体" w:hAnsi="宋体" w:eastAsia="宋体" w:cs="宋体"/>
                <w:kern w:val="0"/>
                <w:sz w:val="24"/>
                <w:szCs w:val="24"/>
              </w:rPr>
            </w:pPr>
            <w:r>
              <w:rPr>
                <w:rFonts w:hint="eastAsia" w:ascii="宋体" w:hAnsi="宋体" w:eastAsia="宋体" w:cs="宋体"/>
                <w:kern w:val="0"/>
                <w:sz w:val="24"/>
                <w:szCs w:val="24"/>
              </w:rPr>
              <w:t>6</w:t>
            </w:r>
          </w:p>
        </w:tc>
        <w:tc>
          <w:tcPr>
            <w:tcW w:w="7953" w:type="dxa"/>
            <w:shd w:val="clear" w:color="auto" w:fill="auto"/>
            <w:vAlign w:val="center"/>
          </w:tcPr>
          <w:p>
            <w:pPr>
              <w:widowControl/>
              <w:spacing w:after="240"/>
              <w:jc w:val="left"/>
              <w:rPr>
                <w:rFonts w:cs="宋体" w:asciiTheme="minorEastAsia" w:hAnsiTheme="minorEastAsia"/>
                <w:kern w:val="0"/>
                <w:szCs w:val="21"/>
              </w:rPr>
            </w:pPr>
            <w:r>
              <w:rPr>
                <w:rFonts w:hint="eastAsia" w:cs="宋体" w:asciiTheme="minorEastAsia" w:hAnsiTheme="minorEastAsia"/>
                <w:kern w:val="0"/>
                <w:szCs w:val="21"/>
              </w:rPr>
              <w:t>《粮食流通管理条例》第三十四条：粮食行政管理部门依照本条例对粮食经营者从事粮食收购、储存、运输活动和政策性用粮的购销活动，以及执行国家粮食流通统计制度的情况进行监督检查。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6" w:hRule="atLeast"/>
        </w:trPr>
        <w:tc>
          <w:tcPr>
            <w:tcW w:w="569" w:type="dxa"/>
            <w:vAlign w:val="center"/>
          </w:tcPr>
          <w:p>
            <w:pPr>
              <w:widowControl/>
              <w:spacing w:after="240"/>
              <w:jc w:val="left"/>
              <w:rPr>
                <w:rFonts w:ascii="宋体" w:hAnsi="宋体" w:eastAsia="宋体" w:cs="宋体"/>
                <w:kern w:val="0"/>
                <w:sz w:val="24"/>
                <w:szCs w:val="24"/>
              </w:rPr>
            </w:pPr>
            <w:r>
              <w:rPr>
                <w:rFonts w:hint="eastAsia" w:ascii="宋体" w:hAnsi="宋体" w:eastAsia="宋体" w:cs="宋体"/>
                <w:kern w:val="0"/>
                <w:sz w:val="24"/>
                <w:szCs w:val="24"/>
              </w:rPr>
              <w:t>7</w:t>
            </w:r>
          </w:p>
        </w:tc>
        <w:tc>
          <w:tcPr>
            <w:tcW w:w="7953" w:type="dxa"/>
            <w:shd w:val="clear" w:color="auto" w:fill="auto"/>
            <w:vAlign w:val="center"/>
          </w:tcPr>
          <w:p>
            <w:pPr>
              <w:widowControl/>
              <w:spacing w:after="240"/>
              <w:jc w:val="left"/>
              <w:rPr>
                <w:rFonts w:cs="宋体" w:asciiTheme="minorEastAsia" w:hAnsiTheme="minorEastAsia"/>
                <w:kern w:val="0"/>
                <w:szCs w:val="21"/>
              </w:rPr>
            </w:pPr>
            <w:r>
              <w:rPr>
                <w:rFonts w:hint="eastAsia" w:cs="宋体" w:asciiTheme="minorEastAsia" w:hAnsiTheme="minorEastAsia"/>
                <w:kern w:val="0"/>
                <w:szCs w:val="21"/>
              </w:rPr>
              <w:t>《粮食流通管理条例》（根据第666号国务院令修改）第三十四条第一款：粮食行政管理部门依照本条例对粮食经营者从事粮食收购、储存、运输活动和政策性用粮的购销活动，以及执行国家粮食流通统计制度的情况进行监督检查。第三款：粮食行政管理部门在监督检查过程中，可以进入粮食经营者经营场所检查粮食的库存量和收购、储存活动中的粮食质量以及原粮卫生；检查粮食仓储设施、设备是否符合国家技术规范；查阅粮食经营者有关资料、凭证；向有关单位和人员调查了解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569" w:type="dxa"/>
            <w:vAlign w:val="center"/>
          </w:tcPr>
          <w:p>
            <w:pPr>
              <w:widowControl/>
              <w:spacing w:after="240"/>
              <w:jc w:val="left"/>
              <w:rPr>
                <w:rFonts w:ascii="宋体" w:hAnsi="宋体" w:eastAsia="宋体" w:cs="宋体"/>
                <w:kern w:val="0"/>
                <w:sz w:val="24"/>
                <w:szCs w:val="24"/>
              </w:rPr>
            </w:pPr>
            <w:r>
              <w:rPr>
                <w:rFonts w:hint="eastAsia" w:ascii="宋体" w:hAnsi="宋体" w:eastAsia="宋体" w:cs="宋体"/>
                <w:kern w:val="0"/>
                <w:sz w:val="24"/>
                <w:szCs w:val="24"/>
              </w:rPr>
              <w:t>8</w:t>
            </w:r>
          </w:p>
        </w:tc>
        <w:tc>
          <w:tcPr>
            <w:tcW w:w="7953" w:type="dxa"/>
            <w:shd w:val="clear" w:color="auto" w:fill="auto"/>
            <w:vAlign w:val="center"/>
          </w:tcPr>
          <w:p>
            <w:pPr>
              <w:widowControl/>
              <w:spacing w:after="240"/>
              <w:jc w:val="left"/>
              <w:rPr>
                <w:rFonts w:cs="宋体" w:asciiTheme="minorEastAsia" w:hAnsiTheme="minorEastAsia"/>
                <w:kern w:val="0"/>
                <w:szCs w:val="21"/>
              </w:rPr>
            </w:pPr>
            <w:r>
              <w:rPr>
                <w:rFonts w:hint="eastAsia" w:cs="宋体" w:asciiTheme="minorEastAsia" w:hAnsiTheme="minorEastAsia"/>
                <w:kern w:val="0"/>
                <w:szCs w:val="21"/>
              </w:rPr>
              <w:t>《企业投资项目核准和备案管理条例》 第十六条 核准机关、备案机关以及依法对项目负有监督管理职责的其他有关部门应当加强事中事后监管，按照谁审批谁监管、谁主管谁监管的原则，落实监管责任，采取在线监测、现场核查等方式，加强对项目实施的监督检查。 2.《外商投资项目核准和备案管理办法》（国家发展改革委令第12号） 第二十七条　各级发展改革部门应当会同同级行业管理、城乡规划、国土资源、环境保护、金融监管、安全生产监管等部门，对项目申报单位执行项目情况和外商投资项目核准或备案情况进行稽察和监督检查，加快完善信息系统，建立发展规划、产业政策、准入标准、诚信记录等信息的横向互通制度，严肃查处违法违规行为并纳入不良信用记录，实现行政审批和市场监管的信息共享。 第三十三条 项目申报单位以拆分项目或提供虚假材料等不正当手段申请核准或备案的，项目核准和备案机关不予受理或者不予核准及备案。已经取得项目核准或备案文件的，项目核准和备案机关应依法撤销该项目的核准或备案文件。已经开工建设的，依法责令其停止建设。相应的项目核准和备案机关及有关部门应当将其纳入不良信用记录，并依法追究有关责任人的法律责任。</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44B8"/>
    <w:multiLevelType w:val="multilevel"/>
    <w:tmpl w:val="1C4F44B8"/>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7D"/>
    <w:rsid w:val="00052378"/>
    <w:rsid w:val="00057A8E"/>
    <w:rsid w:val="000668F5"/>
    <w:rsid w:val="000B1EA4"/>
    <w:rsid w:val="000C2DA4"/>
    <w:rsid w:val="00133A01"/>
    <w:rsid w:val="001567DC"/>
    <w:rsid w:val="001A1A3E"/>
    <w:rsid w:val="001B4D82"/>
    <w:rsid w:val="001B6CA5"/>
    <w:rsid w:val="002526A0"/>
    <w:rsid w:val="00294F05"/>
    <w:rsid w:val="002A1675"/>
    <w:rsid w:val="002A3C04"/>
    <w:rsid w:val="00307604"/>
    <w:rsid w:val="003430A0"/>
    <w:rsid w:val="00396D8E"/>
    <w:rsid w:val="003D36C2"/>
    <w:rsid w:val="00411162"/>
    <w:rsid w:val="00427C19"/>
    <w:rsid w:val="0044237D"/>
    <w:rsid w:val="0044591A"/>
    <w:rsid w:val="00476D9A"/>
    <w:rsid w:val="005B6D5A"/>
    <w:rsid w:val="005C07B2"/>
    <w:rsid w:val="005C2355"/>
    <w:rsid w:val="006337F0"/>
    <w:rsid w:val="00695F45"/>
    <w:rsid w:val="006D1E7F"/>
    <w:rsid w:val="006F2A81"/>
    <w:rsid w:val="00754011"/>
    <w:rsid w:val="00773E4D"/>
    <w:rsid w:val="007B127D"/>
    <w:rsid w:val="007C2925"/>
    <w:rsid w:val="00804E02"/>
    <w:rsid w:val="008F3521"/>
    <w:rsid w:val="00963B1D"/>
    <w:rsid w:val="00991B2F"/>
    <w:rsid w:val="00A21B74"/>
    <w:rsid w:val="00A74813"/>
    <w:rsid w:val="00A913F6"/>
    <w:rsid w:val="00AC43E2"/>
    <w:rsid w:val="00AF0149"/>
    <w:rsid w:val="00B40C15"/>
    <w:rsid w:val="00B870F6"/>
    <w:rsid w:val="00B91024"/>
    <w:rsid w:val="00C11209"/>
    <w:rsid w:val="00C201DF"/>
    <w:rsid w:val="00C2230D"/>
    <w:rsid w:val="00C55F35"/>
    <w:rsid w:val="00C67AFE"/>
    <w:rsid w:val="00CA5F2B"/>
    <w:rsid w:val="00D16DF6"/>
    <w:rsid w:val="00D311BE"/>
    <w:rsid w:val="00E34EF3"/>
    <w:rsid w:val="00E61347"/>
    <w:rsid w:val="00E65D7A"/>
    <w:rsid w:val="00E94DB5"/>
    <w:rsid w:val="00F06D0D"/>
    <w:rsid w:val="00F476E2"/>
    <w:rsid w:val="00F60D1B"/>
    <w:rsid w:val="00F666F9"/>
    <w:rsid w:val="00F74AAA"/>
    <w:rsid w:val="00F94598"/>
    <w:rsid w:val="26ED5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149</Words>
  <Characters>853</Characters>
  <Lines>7</Lines>
  <Paragraphs>1</Paragraphs>
  <TotalTime>78</TotalTime>
  <ScaleCrop>false</ScaleCrop>
  <LinksUpToDate>false</LinksUpToDate>
  <CharactersWithSpaces>1001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2020-09-18T09:17:00Z</dcterms:created>
  <dc:creator>NTKO</dc:creator>
  <cp:lastModifiedBy>季鑫</cp:lastModifiedBy>
  <dcterms:modified xsi:type="dcterms:W3CDTF">2020-12-04T07:35:10Z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