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15" w:type="dxa"/>
        <w:tblInd w:w="228" w:type="dxa"/>
        <w:shd w:val="clear" w:color="auto" w:fill="FFFFFF"/>
        <w:tblCellMar>
          <w:left w:w="0" w:type="dxa"/>
          <w:right w:w="0" w:type="dxa"/>
        </w:tblCellMar>
        <w:tblLook w:val="0000"/>
      </w:tblPr>
      <w:tblGrid>
        <w:gridCol w:w="1440"/>
        <w:gridCol w:w="11056"/>
        <w:gridCol w:w="1419"/>
      </w:tblGrid>
      <w:tr w:rsidR="00000000">
        <w:trPr>
          <w:trHeight w:val="856"/>
        </w:trPr>
        <w:tc>
          <w:tcPr>
            <w:tcW w:w="13915" w:type="dxa"/>
            <w:gridSpan w:val="3"/>
            <w:tcBorders>
              <w:top w:val="nil"/>
              <w:left w:val="nil"/>
              <w:bottom w:val="nil"/>
              <w:right w:val="nil"/>
            </w:tcBorders>
            <w:shd w:val="clear" w:color="auto" w:fill="FFFFFF"/>
            <w:noWrap/>
            <w:tcMar>
              <w:top w:w="15" w:type="dxa"/>
              <w:left w:w="15" w:type="dxa"/>
              <w:bottom w:w="0" w:type="dxa"/>
              <w:right w:w="15" w:type="dxa"/>
            </w:tcMar>
            <w:vAlign w:val="center"/>
          </w:tcPr>
          <w:p w:rsidR="00000000" w:rsidRDefault="00C26A75">
            <w:pPr>
              <w:widowControl/>
              <w:spacing w:line="540" w:lineRule="atLeast"/>
              <w:jc w:val="center"/>
              <w:textAlignment w:val="center"/>
              <w:rPr>
                <w:rFonts w:ascii="宋体" w:hAnsi="宋体" w:cs="宋体"/>
                <w:color w:val="000000"/>
                <w:kern w:val="0"/>
                <w:sz w:val="24"/>
                <w:szCs w:val="24"/>
              </w:rPr>
            </w:pPr>
            <w:r>
              <w:rPr>
                <w:rFonts w:ascii="方正小标宋简体" w:eastAsia="方正小标宋简体" w:hAnsi="宋体" w:cs="宋体" w:hint="eastAsia"/>
                <w:b/>
                <w:bCs/>
                <w:color w:val="000000"/>
                <w:kern w:val="0"/>
                <w:sz w:val="44"/>
                <w:szCs w:val="44"/>
              </w:rPr>
              <w:t>锦溪镇</w:t>
            </w:r>
            <w:r w:rsidR="003D3C12">
              <w:rPr>
                <w:rFonts w:ascii="方正小标宋简体" w:eastAsia="方正小标宋简体" w:hAnsi="宋体" w:cs="宋体" w:hint="eastAsia"/>
                <w:b/>
                <w:bCs/>
                <w:color w:val="000000"/>
                <w:kern w:val="0"/>
                <w:sz w:val="44"/>
                <w:szCs w:val="44"/>
              </w:rPr>
              <w:t>重大行政执法决定法制审核目录清单</w:t>
            </w:r>
          </w:p>
        </w:tc>
      </w:tr>
      <w:tr w:rsidR="00000000">
        <w:trPr>
          <w:trHeight w:val="509"/>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textAlignment w:val="center"/>
              <w:rPr>
                <w:rFonts w:ascii="宋体" w:hAnsi="宋体" w:cs="宋体"/>
                <w:color w:val="000000"/>
                <w:kern w:val="0"/>
                <w:sz w:val="24"/>
                <w:szCs w:val="24"/>
              </w:rPr>
            </w:pPr>
            <w:r>
              <w:rPr>
                <w:rFonts w:ascii="仿宋_GB2312" w:eastAsia="仿宋_GB2312" w:hAnsi="宋体" w:cs="宋体" w:hint="eastAsia"/>
                <w:b/>
                <w:bCs/>
                <w:color w:val="000000"/>
                <w:kern w:val="0"/>
                <w:sz w:val="32"/>
                <w:szCs w:val="32"/>
              </w:rPr>
              <w:t>类别</w:t>
            </w:r>
          </w:p>
        </w:tc>
        <w:tc>
          <w:tcPr>
            <w:tcW w:w="11056"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textAlignment w:val="center"/>
              <w:rPr>
                <w:rFonts w:ascii="宋体" w:hAnsi="宋体" w:cs="宋体"/>
                <w:color w:val="000000"/>
                <w:kern w:val="0"/>
                <w:sz w:val="24"/>
                <w:szCs w:val="24"/>
              </w:rPr>
            </w:pPr>
            <w:r>
              <w:rPr>
                <w:rFonts w:ascii="仿宋_GB2312" w:eastAsia="仿宋_GB2312" w:hAnsi="宋体" w:cs="宋体" w:hint="eastAsia"/>
                <w:b/>
                <w:bCs/>
                <w:color w:val="000000"/>
                <w:kern w:val="0"/>
                <w:sz w:val="32"/>
                <w:szCs w:val="32"/>
              </w:rPr>
              <w:t>重大行政执法决定法制审核项目</w:t>
            </w:r>
          </w:p>
        </w:tc>
        <w:tc>
          <w:tcPr>
            <w:tcW w:w="1419" w:type="dxa"/>
            <w:tcBorders>
              <w:top w:val="single" w:sz="8" w:space="0" w:color="000000"/>
              <w:left w:val="nil"/>
              <w:bottom w:val="single" w:sz="8" w:space="0" w:color="000000"/>
              <w:right w:val="single" w:sz="8" w:space="0" w:color="000000"/>
            </w:tcBorders>
            <w:shd w:val="clear" w:color="auto" w:fill="FFFFFF"/>
            <w:noWrap/>
            <w:tcMar>
              <w:top w:w="15" w:type="dxa"/>
              <w:left w:w="15" w:type="dxa"/>
              <w:bottom w:w="0" w:type="dxa"/>
              <w:right w:w="15" w:type="dxa"/>
            </w:tcMar>
            <w:vAlign w:val="center"/>
          </w:tcPr>
          <w:p w:rsidR="00000000" w:rsidRDefault="003D3C12">
            <w:pPr>
              <w:widowControl/>
              <w:spacing w:line="540" w:lineRule="atLeast"/>
              <w:jc w:val="center"/>
              <w:textAlignment w:val="center"/>
              <w:rPr>
                <w:rFonts w:ascii="宋体" w:hAnsi="宋体" w:cs="宋体"/>
                <w:color w:val="000000"/>
                <w:kern w:val="0"/>
                <w:sz w:val="24"/>
                <w:szCs w:val="24"/>
              </w:rPr>
            </w:pPr>
            <w:r>
              <w:rPr>
                <w:rFonts w:ascii="仿宋_GB2312" w:eastAsia="仿宋_GB2312" w:hAnsi="宋体" w:cs="宋体" w:hint="eastAsia"/>
                <w:b/>
                <w:bCs/>
                <w:color w:val="000000"/>
                <w:kern w:val="0"/>
                <w:sz w:val="32"/>
                <w:szCs w:val="32"/>
              </w:rPr>
              <w:t>备注</w:t>
            </w:r>
          </w:p>
        </w:tc>
      </w:tr>
      <w:tr w:rsidR="00000000">
        <w:trPr>
          <w:trHeight w:val="679"/>
        </w:trPr>
        <w:tc>
          <w:tcPr>
            <w:tcW w:w="144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行政处罚</w:t>
            </w:r>
          </w:p>
        </w:tc>
        <w:tc>
          <w:tcPr>
            <w:tcW w:w="11056"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一般程序作出的行政处罚</w:t>
            </w:r>
          </w:p>
        </w:tc>
        <w:tc>
          <w:tcPr>
            <w:tcW w:w="141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689"/>
        </w:trPr>
        <w:tc>
          <w:tcPr>
            <w:tcW w:w="144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行政许可</w:t>
            </w:r>
          </w:p>
        </w:tc>
        <w:tc>
          <w:tcPr>
            <w:tcW w:w="11056"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适用听证程序作出的行政许可决定</w:t>
            </w:r>
          </w:p>
        </w:tc>
        <w:tc>
          <w:tcPr>
            <w:tcW w:w="141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543"/>
        </w:trPr>
        <w:tc>
          <w:tcPr>
            <w:tcW w:w="144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c>
          <w:tcPr>
            <w:tcW w:w="11056"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撤销行政许可决定</w:t>
            </w:r>
          </w:p>
        </w:tc>
        <w:tc>
          <w:tcPr>
            <w:tcW w:w="141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608"/>
        </w:trPr>
        <w:tc>
          <w:tcPr>
            <w:tcW w:w="144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c>
          <w:tcPr>
            <w:tcW w:w="11056"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涉及重大公共利益、社会关注度高、可能造成重大社会影响的行政许可决定</w:t>
            </w:r>
          </w:p>
        </w:tc>
        <w:tc>
          <w:tcPr>
            <w:tcW w:w="141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816"/>
        </w:trPr>
        <w:tc>
          <w:tcPr>
            <w:tcW w:w="1440" w:type="dxa"/>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tcPr>
          <w:p w:rsidR="00000000" w:rsidRDefault="003D3C12">
            <w:pPr>
              <w:widowControl/>
              <w:spacing w:line="540" w:lineRule="atLeast"/>
              <w:jc w:val="center"/>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行政强制</w:t>
            </w:r>
          </w:p>
        </w:tc>
        <w:tc>
          <w:tcPr>
            <w:tcW w:w="11056"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查封公民、法人或者其他组织的经营场所、主要生产经营设施致使生产经营活动难以正常进行的</w:t>
            </w:r>
          </w:p>
        </w:tc>
        <w:tc>
          <w:tcPr>
            <w:tcW w:w="141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693"/>
        </w:trPr>
        <w:tc>
          <w:tcPr>
            <w:tcW w:w="1440" w:type="dxa"/>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tcPr>
          <w:p w:rsidR="00000000" w:rsidRDefault="003D3C12">
            <w:pPr>
              <w:widowControl/>
              <w:spacing w:line="540" w:lineRule="atLeast"/>
              <w:jc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c>
          <w:tcPr>
            <w:tcW w:w="11056"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查封、扣押公民、法人或者其他组织的财物致使生产经营活动难以正常进行的</w:t>
            </w:r>
          </w:p>
        </w:tc>
        <w:tc>
          <w:tcPr>
            <w:tcW w:w="141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533"/>
        </w:trPr>
        <w:tc>
          <w:tcPr>
            <w:tcW w:w="1440" w:type="dxa"/>
            <w:tcBorders>
              <w:top w:val="nil"/>
              <w:left w:val="single" w:sz="8" w:space="0" w:color="000000"/>
              <w:bottom w:val="single" w:sz="8" w:space="0" w:color="auto"/>
              <w:right w:val="single" w:sz="8" w:space="0" w:color="000000"/>
            </w:tcBorders>
            <w:shd w:val="clear" w:color="auto" w:fill="FFFFFF"/>
            <w:noWrap/>
            <w:tcMar>
              <w:top w:w="15" w:type="dxa"/>
              <w:left w:w="15" w:type="dxa"/>
              <w:bottom w:w="0" w:type="dxa"/>
              <w:right w:w="15" w:type="dxa"/>
            </w:tcMar>
            <w:vAlign w:val="center"/>
          </w:tcPr>
          <w:p w:rsidR="00000000" w:rsidRDefault="003D3C12">
            <w:pPr>
              <w:widowControl/>
              <w:spacing w:line="540" w:lineRule="atLeast"/>
              <w:jc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c>
          <w:tcPr>
            <w:tcW w:w="11056" w:type="dxa"/>
            <w:tcBorders>
              <w:top w:val="nil"/>
              <w:left w:val="nil"/>
              <w:bottom w:val="single" w:sz="8" w:space="0" w:color="auto"/>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拍卖或者依法处理查封、扣押的场所、设施或者财物</w:t>
            </w:r>
          </w:p>
        </w:tc>
        <w:tc>
          <w:tcPr>
            <w:tcW w:w="1419" w:type="dxa"/>
            <w:tcBorders>
              <w:top w:val="nil"/>
              <w:left w:val="nil"/>
              <w:bottom w:val="single" w:sz="8" w:space="0" w:color="auto"/>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315"/>
        </w:trPr>
        <w:tc>
          <w:tcPr>
            <w:tcW w:w="144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000000" w:rsidRDefault="003D3C12">
            <w:pPr>
              <w:widowControl/>
              <w:spacing w:line="540" w:lineRule="atLeast"/>
              <w:jc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c>
          <w:tcPr>
            <w:tcW w:w="11056"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依法申请人民法院强制执行的</w:t>
            </w:r>
          </w:p>
        </w:tc>
        <w:tc>
          <w:tcPr>
            <w:tcW w:w="141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315"/>
        </w:trPr>
        <w:tc>
          <w:tcPr>
            <w:tcW w:w="1440" w:type="dxa"/>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rsidR="00000000" w:rsidRDefault="003D3C12">
            <w:pPr>
              <w:widowControl/>
              <w:spacing w:line="540" w:lineRule="atLeast"/>
              <w:jc w:val="center"/>
              <w:rPr>
                <w:rFonts w:ascii="仿宋_GB2312" w:eastAsia="仿宋_GB2312" w:hAnsi="宋体" w:cs="宋体" w:hint="eastAsia"/>
                <w:color w:val="000000"/>
                <w:kern w:val="0"/>
                <w:sz w:val="32"/>
                <w:szCs w:val="32"/>
              </w:rPr>
            </w:pPr>
          </w:p>
        </w:tc>
        <w:tc>
          <w:tcPr>
            <w:tcW w:w="11056"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仿宋_GB2312" w:eastAsia="仿宋_GB2312" w:hAnsi="宋体" w:cs="宋体" w:hint="eastAsia"/>
                <w:color w:val="000000"/>
                <w:kern w:val="0"/>
                <w:sz w:val="32"/>
                <w:szCs w:val="32"/>
              </w:rPr>
            </w:pPr>
            <w:r>
              <w:rPr>
                <w:rFonts w:ascii="宋体" w:hAnsi="宋体" w:hint="eastAsia"/>
                <w:sz w:val="32"/>
                <w:szCs w:val="32"/>
              </w:rPr>
              <w:t>在</w:t>
            </w:r>
            <w:r w:rsidR="00C26A75">
              <w:rPr>
                <w:rFonts w:ascii="宋体" w:hAnsi="宋体" w:hint="eastAsia"/>
                <w:sz w:val="32"/>
                <w:szCs w:val="32"/>
              </w:rPr>
              <w:t>镇</w:t>
            </w:r>
            <w:r>
              <w:rPr>
                <w:rFonts w:ascii="宋体" w:hAnsi="宋体" w:hint="eastAsia"/>
                <w:sz w:val="32"/>
                <w:szCs w:val="32"/>
              </w:rPr>
              <w:t>、村庄规划区内对未依法取得乡村建设规划许可证或者未按照乡村建设规划许可证的规定进行建设的建筑进行强制拆除的。</w:t>
            </w:r>
          </w:p>
        </w:tc>
        <w:tc>
          <w:tcPr>
            <w:tcW w:w="141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仿宋_GB2312" w:eastAsia="仿宋_GB2312" w:hAnsi="宋体" w:cs="宋体" w:hint="eastAsia"/>
                <w:color w:val="000000"/>
                <w:kern w:val="0"/>
                <w:sz w:val="32"/>
                <w:szCs w:val="32"/>
              </w:rPr>
            </w:pPr>
          </w:p>
        </w:tc>
      </w:tr>
      <w:tr w:rsidR="00000000">
        <w:trPr>
          <w:trHeight w:val="831"/>
        </w:trPr>
        <w:tc>
          <w:tcPr>
            <w:tcW w:w="144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lastRenderedPageBreak/>
              <w:t>其他</w:t>
            </w:r>
          </w:p>
        </w:tc>
        <w:tc>
          <w:tcPr>
            <w:tcW w:w="11056"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将违法行为移送公安、司法机关追究刑事责任的</w:t>
            </w:r>
          </w:p>
        </w:tc>
        <w:tc>
          <w:tcPr>
            <w:tcW w:w="141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957"/>
        </w:trPr>
        <w:tc>
          <w:tcPr>
            <w:tcW w:w="144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c>
          <w:tcPr>
            <w:tcW w:w="11056"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案件情况复杂，涉及多个法律关系的行政执法决定</w:t>
            </w:r>
          </w:p>
        </w:tc>
        <w:tc>
          <w:tcPr>
            <w:tcW w:w="141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r w:rsidR="00000000">
        <w:trPr>
          <w:trHeight w:val="976"/>
        </w:trPr>
        <w:tc>
          <w:tcPr>
            <w:tcW w:w="144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c>
          <w:tcPr>
            <w:tcW w:w="11056"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textAlignment w:val="center"/>
              <w:rPr>
                <w:rFonts w:ascii="宋体" w:hAnsi="宋体" w:cs="宋体"/>
                <w:color w:val="000000"/>
                <w:kern w:val="0"/>
                <w:sz w:val="24"/>
                <w:szCs w:val="24"/>
              </w:rPr>
            </w:pPr>
            <w:r>
              <w:rPr>
                <w:rFonts w:ascii="仿宋_GB2312" w:eastAsia="仿宋_GB2312" w:hAnsi="宋体" w:cs="宋体" w:hint="eastAsia"/>
                <w:color w:val="000000"/>
                <w:kern w:val="0"/>
                <w:sz w:val="32"/>
                <w:szCs w:val="32"/>
              </w:rPr>
              <w:t>其他法律、法规、规章、规范性文件规定应当进行法制审核的</w:t>
            </w:r>
          </w:p>
        </w:tc>
        <w:tc>
          <w:tcPr>
            <w:tcW w:w="141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tcPr>
          <w:p w:rsidR="00000000" w:rsidRDefault="003D3C12">
            <w:pPr>
              <w:widowControl/>
              <w:spacing w:line="540" w:lineRule="atLeast"/>
              <w:jc w:val="left"/>
              <w:rPr>
                <w:rFonts w:ascii="宋体" w:hAnsi="宋体" w:cs="宋体"/>
                <w:color w:val="000000"/>
                <w:kern w:val="0"/>
                <w:sz w:val="24"/>
                <w:szCs w:val="24"/>
              </w:rPr>
            </w:pPr>
            <w:r>
              <w:rPr>
                <w:rFonts w:ascii="仿宋_GB2312" w:eastAsia="仿宋_GB2312" w:hAnsi="宋体" w:cs="宋体" w:hint="eastAsia"/>
                <w:color w:val="000000"/>
                <w:kern w:val="0"/>
                <w:sz w:val="32"/>
                <w:szCs w:val="32"/>
              </w:rPr>
              <w:t> </w:t>
            </w:r>
          </w:p>
        </w:tc>
      </w:tr>
    </w:tbl>
    <w:p w:rsidR="003D3C12" w:rsidRDefault="003D3C12">
      <w:pPr>
        <w:rPr>
          <w:rFonts w:hint="eastAsia"/>
        </w:rPr>
      </w:pPr>
    </w:p>
    <w:sectPr w:rsidR="003D3C12">
      <w:pgSz w:w="16838" w:h="11906" w:orient="landscape"/>
      <w:pgMar w:top="1418" w:right="1440" w:bottom="1361"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C12" w:rsidRDefault="003D3C12" w:rsidP="00C26A75">
      <w:r>
        <w:separator/>
      </w:r>
    </w:p>
  </w:endnote>
  <w:endnote w:type="continuationSeparator" w:id="1">
    <w:p w:rsidR="003D3C12" w:rsidRDefault="003D3C12" w:rsidP="00C26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roman"/>
    <w:pitch w:val="default"/>
    <w:sig w:usb0="00000000" w:usb1="080E0000" w:usb2="00000000" w:usb3="00000000" w:csb0="00040000" w:csb1="00000000"/>
  </w:font>
  <w:font w:name="仿宋_GB2312">
    <w:altName w:val="Arial Unicode MS"/>
    <w:charset w:val="86"/>
    <w:family w:val="roma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C12" w:rsidRDefault="003D3C12" w:rsidP="00C26A75">
      <w:r>
        <w:separator/>
      </w:r>
    </w:p>
  </w:footnote>
  <w:footnote w:type="continuationSeparator" w:id="1">
    <w:p w:rsidR="003D3C12" w:rsidRDefault="003D3C12" w:rsidP="00C26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CB7"/>
    <w:rsid w:val="00284CB7"/>
    <w:rsid w:val="003D3C12"/>
    <w:rsid w:val="00C26A75"/>
    <w:rsid w:val="00D555B9"/>
    <w:rsid w:val="08411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A75"/>
    <w:rPr>
      <w:kern w:val="2"/>
      <w:sz w:val="18"/>
      <w:szCs w:val="18"/>
    </w:rPr>
  </w:style>
  <w:style w:type="paragraph" w:styleId="a4">
    <w:name w:val="footer"/>
    <w:basedOn w:val="a"/>
    <w:link w:val="Char0"/>
    <w:uiPriority w:val="99"/>
    <w:semiHidden/>
    <w:unhideWhenUsed/>
    <w:rsid w:val="00C26A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A7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Words>
  <Characters>365</Characters>
  <Application>Microsoft Office Word</Application>
  <DocSecurity>0</DocSecurity>
  <Lines>3</Lines>
  <Paragraphs>1</Paragraphs>
  <ScaleCrop>false</ScaleCrop>
  <Company>微软公司</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2021-09-06T03:17:00Z</dcterms:created>
  <dcterms:modified xsi:type="dcterms:W3CDTF">2021-09-06T03:17:00Z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