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eastAsia="华文中宋"/>
          <w:kern w:val="2"/>
          <w:sz w:val="30"/>
          <w:szCs w:val="30"/>
        </w:rPr>
      </w:pPr>
    </w:p>
    <w:p>
      <w:pPr>
        <w:pStyle w:val="3"/>
        <w:jc w:val="center"/>
        <w:rPr>
          <w:rFonts w:eastAsia="华文中宋"/>
          <w:kern w:val="2"/>
          <w:sz w:val="30"/>
          <w:szCs w:val="30"/>
        </w:rPr>
      </w:pPr>
    </w:p>
    <w:p>
      <w:pPr>
        <w:rPr>
          <w:rFonts w:ascii="Times New Roman" w:hAnsi="Times New Roman" w:eastAsia="华文中宋"/>
          <w:szCs w:val="30"/>
        </w:rPr>
      </w:pPr>
    </w:p>
    <w:p>
      <w:pPr>
        <w:pStyle w:val="3"/>
        <w:jc w:val="center"/>
        <w:rPr>
          <w:rFonts w:eastAsia="华文中宋"/>
          <w:kern w:val="2"/>
        </w:rPr>
      </w:pPr>
      <w:r>
        <w:rPr>
          <w:rFonts w:eastAsia="华文中宋"/>
          <w:kern w:val="2"/>
        </w:rPr>
        <w:t>龙泉市体育发展“十四五”规划</w:t>
      </w:r>
    </w:p>
    <w:p>
      <w:pPr>
        <w:jc w:val="center"/>
        <w:rPr>
          <w:rFonts w:ascii="Times New Roman" w:hAnsi="Times New Roman" w:eastAsia="楷体"/>
          <w:bCs/>
          <w:sz w:val="32"/>
          <w:szCs w:val="32"/>
        </w:rPr>
      </w:pPr>
    </w:p>
    <w:p>
      <w:pPr>
        <w:rPr>
          <w:rFonts w:ascii="Times New Roman" w:hAnsi="Times New Roman" w:eastAsia="楷体"/>
          <w:bCs/>
          <w:sz w:val="32"/>
          <w:szCs w:val="32"/>
        </w:rPr>
      </w:pPr>
    </w:p>
    <w:p>
      <w:pPr>
        <w:rPr>
          <w:rFonts w:ascii="Times New Roman" w:hAnsi="Times New Roman" w:eastAsia="华文中宋"/>
          <w:b/>
          <w:bCs/>
          <w:sz w:val="32"/>
          <w:szCs w:val="32"/>
        </w:rPr>
      </w:pPr>
    </w:p>
    <w:p>
      <w:pPr>
        <w:rPr>
          <w:rFonts w:ascii="Times New Roman" w:hAnsi="Times New Roman" w:eastAsia="华文中宋"/>
          <w:b/>
          <w:bCs/>
          <w:sz w:val="32"/>
          <w:szCs w:val="32"/>
        </w:rPr>
      </w:pPr>
    </w:p>
    <w:p>
      <w:pPr>
        <w:rPr>
          <w:rFonts w:ascii="Times New Roman" w:hAnsi="Times New Roman" w:eastAsia="华文中宋"/>
          <w:b/>
          <w:bCs/>
          <w:sz w:val="32"/>
          <w:szCs w:val="32"/>
        </w:rPr>
      </w:pPr>
    </w:p>
    <w:p>
      <w:pPr>
        <w:rPr>
          <w:rFonts w:ascii="Times New Roman" w:hAnsi="Times New Roman" w:eastAsia="华文中宋"/>
          <w:b/>
          <w:bCs/>
          <w:sz w:val="32"/>
          <w:szCs w:val="32"/>
        </w:rPr>
      </w:pPr>
    </w:p>
    <w:p>
      <w:pPr>
        <w:rPr>
          <w:rFonts w:ascii="Times New Roman" w:hAnsi="Times New Roman" w:eastAsia="华文中宋"/>
          <w:b/>
          <w:bCs/>
          <w:sz w:val="32"/>
          <w:szCs w:val="32"/>
        </w:rPr>
      </w:pPr>
    </w:p>
    <w:p>
      <w:pPr>
        <w:jc w:val="center"/>
        <w:rPr>
          <w:rFonts w:ascii="Times New Roman" w:hAnsi="Times New Roman" w:eastAsia="华文中宋"/>
          <w:b/>
          <w:bCs/>
          <w:sz w:val="32"/>
          <w:szCs w:val="32"/>
        </w:rPr>
      </w:pPr>
      <w:r>
        <w:rPr>
          <w:rFonts w:ascii="Times New Roman" w:hAnsi="Times New Roman" w:eastAsia="华文中宋"/>
          <w:b/>
          <w:bCs/>
          <w:sz w:val="32"/>
          <w:szCs w:val="32"/>
        </w:rPr>
        <w:t xml:space="preserve">    龙泉市文化和广电旅游体育局</w:t>
      </w:r>
    </w:p>
    <w:p>
      <w:pPr>
        <w:spacing w:line="360" w:lineRule="auto"/>
        <w:ind w:firstLine="641" w:firstLineChars="200"/>
        <w:jc w:val="center"/>
        <w:rPr>
          <w:rFonts w:ascii="Times New Roman" w:hAnsi="Times New Roman" w:eastAsia="华文中宋"/>
          <w:b/>
          <w:bCs/>
          <w:sz w:val="32"/>
          <w:szCs w:val="32"/>
        </w:rPr>
      </w:pPr>
      <w:r>
        <w:rPr>
          <w:rFonts w:ascii="Times New Roman" w:hAnsi="Times New Roman" w:eastAsia="华文中宋"/>
          <w:b/>
          <w:bCs/>
          <w:sz w:val="32"/>
          <w:szCs w:val="32"/>
        </w:rPr>
        <w:t>2021年0</w:t>
      </w:r>
      <w:r>
        <w:rPr>
          <w:rFonts w:ascii="Times New Roman" w:hAnsi="Times New Roman" w:eastAsia="华文中宋"/>
          <w:b/>
          <w:bCs/>
          <w:sz w:val="32"/>
          <w:szCs w:val="32"/>
          <w:lang w:val="en-US"/>
        </w:rPr>
        <w:t>9</w:t>
      </w:r>
      <w:r>
        <w:rPr>
          <w:rFonts w:ascii="Times New Roman" w:hAnsi="Times New Roman" w:eastAsia="华文中宋"/>
          <w:b/>
          <w:bCs/>
          <w:sz w:val="32"/>
          <w:szCs w:val="32"/>
        </w:rPr>
        <w:t>月</w:t>
      </w:r>
    </w:p>
    <w:p>
      <w:pPr>
        <w:spacing w:line="580" w:lineRule="exact"/>
        <w:jc w:val="center"/>
        <w:rPr>
          <w:rFonts w:ascii="Times New Roman" w:hAnsi="Times New Roman" w:eastAsia="创艺简标宋"/>
          <w:sz w:val="44"/>
          <w:szCs w:val="44"/>
        </w:rPr>
        <w:sectPr>
          <w:footerReference r:id="rId3" w:type="default"/>
          <w:footerReference r:id="rId4" w:type="even"/>
          <w:pgSz w:w="11906" w:h="16838"/>
          <w:pgMar w:top="1417" w:right="1531" w:bottom="1701" w:left="1531" w:header="0" w:footer="1417" w:gutter="0"/>
          <w:pgNumType w:fmt="numberInDash"/>
          <w:cols w:space="0" w:num="1"/>
          <w:titlePg/>
          <w:docGrid w:type="lines" w:linePitch="312" w:charSpace="0"/>
        </w:sectPr>
      </w:pPr>
    </w:p>
    <w:p>
      <w:pPr>
        <w:spacing w:line="580" w:lineRule="exact"/>
        <w:jc w:val="center"/>
        <w:rPr>
          <w:rFonts w:ascii="Times New Roman" w:hAnsi="Times New Roman" w:eastAsia="创艺简标宋"/>
          <w:sz w:val="44"/>
          <w:szCs w:val="44"/>
        </w:rPr>
      </w:pPr>
      <w:r>
        <w:rPr>
          <w:rFonts w:ascii="Times New Roman" w:hAnsi="Times New Roman" w:eastAsia="创艺简标宋"/>
          <w:sz w:val="44"/>
          <w:szCs w:val="44"/>
        </w:rPr>
        <w:t>龙泉市体育发展“十四五”规划</w:t>
      </w:r>
    </w:p>
    <w:p>
      <w:pPr>
        <w:pStyle w:val="2"/>
        <w:spacing w:line="580" w:lineRule="exact"/>
        <w:ind w:firstLine="0" w:firstLineChars="0"/>
        <w:jc w:val="center"/>
        <w:rPr>
          <w:rFonts w:eastAsia="楷体"/>
          <w:sz w:val="32"/>
          <w:szCs w:val="32"/>
        </w:rPr>
      </w:pPr>
    </w:p>
    <w:p>
      <w:pPr>
        <w:pStyle w:val="2"/>
      </w:pP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四五”时期，我市将在全国高水平全面建成小康社会、实现第一个百年奋斗目标基础上，乘势而上，开启全面建设社会主义现代化国家新征程、向第二个百年奋斗目标进军的第一个五年。根据《体育强国建设纲要》《浙江省高水平建设现代化体育强省实施意见》《浙江省体育改革发展“十四五”规划》和《龙泉市国民经济和社会发展第十四个五年规划和二〇三五年远景目标纲要》总体部署及龙泉“十四五”期间各类相关规划，结合龙泉体育工作实际，制定本规划。</w:t>
      </w: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一、规划背景</w:t>
      </w:r>
      <w:bookmarkStart w:id="1" w:name="_GoBack"/>
      <w:bookmarkEnd w:id="1"/>
    </w:p>
    <w:p>
      <w:pPr>
        <w:spacing w:line="580" w:lineRule="exact"/>
        <w:ind w:firstLine="640" w:firstLineChars="200"/>
        <w:rPr>
          <w:rFonts w:ascii="Times New Roman" w:hAnsi="Times New Roman" w:eastAsia="楷体"/>
          <w:sz w:val="32"/>
          <w:szCs w:val="32"/>
        </w:rPr>
      </w:pPr>
      <w:r>
        <w:rPr>
          <w:rFonts w:ascii="Times New Roman" w:hAnsi="Times New Roman" w:eastAsia="楷体"/>
          <w:sz w:val="32"/>
          <w:szCs w:val="32"/>
        </w:rPr>
        <w:t>（一）发展基础</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三五”期间，我市认真贯彻习近平新时代中国特色社会主义思想，深入推进“健康中国”和“全民健身”两大国家战略，顺利完成体育发展“十三五”规划目标，在构建龙泉体育公共服务体系、提升体育公共服务水平、提高竞技体育综合实力、提升体育产业竞争力、不断完善体育发展顶层设计等方面，取得了明显进步，为“十四五”时期加快推进体育现代化建设奠定了坚实基础。</w:t>
      </w:r>
    </w:p>
    <w:p>
      <w:pPr>
        <w:spacing w:line="360" w:lineRule="auto"/>
        <w:ind w:firstLine="643" w:firstLineChars="200"/>
        <w:rPr>
          <w:rFonts w:ascii="Times New Roman" w:hAnsi="Times New Roman" w:eastAsia="仿宋"/>
          <w:kern w:val="0"/>
          <w:sz w:val="32"/>
          <w:szCs w:val="32"/>
        </w:rPr>
      </w:pPr>
      <w:r>
        <w:rPr>
          <w:rFonts w:ascii="Times New Roman" w:hAnsi="Times New Roman" w:eastAsia="仿宋_GB2312"/>
          <w:b/>
          <w:bCs/>
          <w:sz w:val="32"/>
          <w:szCs w:val="32"/>
        </w:rPr>
        <w:t>1.全民健身事业持续发展，公共体育服务体系不断完善。群众体育事业蓬勃发展。</w:t>
      </w:r>
      <w:r>
        <w:rPr>
          <w:rFonts w:ascii="Times New Roman" w:hAnsi="Times New Roman" w:eastAsia="仿宋_GB2312"/>
          <w:sz w:val="32"/>
          <w:szCs w:val="32"/>
        </w:rPr>
        <w:t>出台《龙泉市全民健身实施计划（2016—2020年）》文件，加快构建全民健身服务体系。2016-2020年间开展全民健身活动260余场，举办市第三届职工运动会、全民篮球联赛、工人运动会等群众体育赛事，提高活动普及化，经常参加体育锻炼的人数（不含学生）比例为28.4%。</w:t>
      </w:r>
      <w:r>
        <w:rPr>
          <w:rFonts w:ascii="Times New Roman" w:hAnsi="Times New Roman" w:eastAsia="仿宋_GB2312"/>
          <w:b/>
          <w:bCs/>
          <w:sz w:val="32"/>
          <w:szCs w:val="32"/>
        </w:rPr>
        <w:t>体育设施建设稳步推进。</w:t>
      </w:r>
      <w:r>
        <w:rPr>
          <w:rFonts w:ascii="Times New Roman" w:hAnsi="Times New Roman" w:eastAsia="仿宋_GB2312"/>
          <w:sz w:val="32"/>
          <w:szCs w:val="32"/>
        </w:rPr>
        <w:t>五年来，全市共有健身场所982个，总面积70.61万㎡，城市健身步道（骑行道、登山步道）42公里，体育设施进公园2处，实施省小康体育村升级工程57个，</w:t>
      </w:r>
      <w:r>
        <w:rPr>
          <w:rFonts w:hint="eastAsia" w:ascii="Times New Roman" w:hAnsi="Times New Roman" w:eastAsia="仿宋_GB2312"/>
          <w:sz w:val="32"/>
          <w:szCs w:val="32"/>
          <w:lang w:eastAsia="zh-CN"/>
        </w:rPr>
        <w:t>正</w:t>
      </w:r>
      <w:r>
        <w:rPr>
          <w:rFonts w:ascii="Times New Roman" w:hAnsi="Times New Roman" w:eastAsia="仿宋_GB2312"/>
          <w:sz w:val="32"/>
          <w:szCs w:val="32"/>
        </w:rPr>
        <w:t>抓紧谋划新体育中心</w:t>
      </w:r>
      <w:r>
        <w:rPr>
          <w:rFonts w:hint="eastAsia" w:ascii="Times New Roman" w:hAnsi="Times New Roman" w:eastAsia="仿宋_GB2312"/>
          <w:sz w:val="32"/>
          <w:szCs w:val="32"/>
          <w:lang w:eastAsia="zh-CN"/>
        </w:rPr>
        <w:t>项目</w:t>
      </w:r>
      <w:r>
        <w:rPr>
          <w:rFonts w:ascii="Times New Roman" w:hAnsi="Times New Roman" w:eastAsia="仿宋_GB2312"/>
          <w:sz w:val="32"/>
          <w:szCs w:val="32"/>
        </w:rPr>
        <w:t>建设。2018年，通过浙江省“四提升四覆盖”全民健身工程考核验收，开放率100%。</w:t>
      </w:r>
      <w:r>
        <w:rPr>
          <w:rFonts w:hint="eastAsia" w:ascii="Times New Roman" w:hAnsi="Times New Roman" w:eastAsia="仿宋_GB2312"/>
          <w:sz w:val="32"/>
          <w:szCs w:val="32"/>
        </w:rPr>
        <w:t>2020年</w:t>
      </w:r>
      <w:r>
        <w:rPr>
          <w:rFonts w:ascii="Times New Roman" w:hAnsi="Times New Roman" w:eastAsia="仿宋_GB2312"/>
          <w:sz w:val="32"/>
          <w:szCs w:val="32"/>
        </w:rPr>
        <w:t>人均体育场地面积达2.84㎡，龙泉“亲民、便民、利民”的全民健身设施网络基本形成。</w:t>
      </w:r>
      <w:r>
        <w:rPr>
          <w:rFonts w:ascii="Times New Roman" w:hAnsi="Times New Roman" w:eastAsia="仿宋_GB2312"/>
          <w:b/>
          <w:bCs/>
          <w:sz w:val="32"/>
          <w:szCs w:val="32"/>
        </w:rPr>
        <w:t>社会体育组织网络不断健全。</w:t>
      </w:r>
      <w:r>
        <w:rPr>
          <w:rFonts w:ascii="Times New Roman" w:hAnsi="Times New Roman" w:eastAsia="仿宋_GB2312"/>
          <w:sz w:val="32"/>
          <w:szCs w:val="32"/>
        </w:rPr>
        <w:t>“十三五”末，全市建有1个体育总会和7个分会，21个单项体育协会，30个各类省、市级体育俱乐部，社会体育指导员730人，每千名锻炼者配备2.6名社体指导员，拥有3A级以上体育社团9个，体育社会组织3A达标率达为42.8%。全市、乡（镇）街道两级体育总会、分会以及市本级、乡镇（街道）、村（社区）三级老年体协组织网络健全。</w:t>
      </w:r>
      <w:r>
        <w:rPr>
          <w:rFonts w:ascii="Times New Roman" w:hAnsi="Times New Roman" w:eastAsia="仿宋_GB2312"/>
          <w:b/>
          <w:bCs/>
          <w:sz w:val="32"/>
          <w:szCs w:val="32"/>
        </w:rPr>
        <w:t>国民体质监测体系逐步完善。</w:t>
      </w:r>
      <w:r>
        <w:rPr>
          <w:rFonts w:ascii="Times New Roman" w:hAnsi="Times New Roman" w:eastAsia="仿宋_GB2312"/>
          <w:sz w:val="32"/>
          <w:szCs w:val="32"/>
        </w:rPr>
        <w:t>建有龙渊、塔石、八都、安仁、查田、小梅、岩樟等7个乡镇街道国民体质监测点，持续为广大群众开展免费测试，测试人群达1万余人次，合格率达93.5%。</w:t>
      </w:r>
    </w:p>
    <w:p>
      <w:pPr>
        <w:spacing w:line="360" w:lineRule="auto"/>
        <w:ind w:firstLine="643" w:firstLineChars="200"/>
        <w:rPr>
          <w:rFonts w:ascii="Times New Roman" w:hAnsi="Times New Roman" w:eastAsia="仿宋_GB2312"/>
          <w:sz w:val="32"/>
          <w:szCs w:val="32"/>
        </w:rPr>
      </w:pPr>
      <w:r>
        <w:rPr>
          <w:rFonts w:ascii="Times New Roman" w:hAnsi="Times New Roman" w:eastAsia="仿宋_GB2312"/>
          <w:b/>
          <w:bCs/>
          <w:sz w:val="32"/>
          <w:szCs w:val="32"/>
        </w:rPr>
        <w:t>2.竞技体育实力稳步增强，后备人才培养展现较好成果。竞技比赛成绩有所突破。</w:t>
      </w:r>
      <w:r>
        <w:rPr>
          <w:rFonts w:ascii="Times New Roman" w:hAnsi="Times New Roman" w:eastAsia="仿宋_GB2312"/>
          <w:sz w:val="32"/>
          <w:szCs w:val="32"/>
        </w:rPr>
        <w:t>全市目前共有注册运动员535人，开设田径、排球、篮球、羽毛球、乒乓球、足球、网球、跆拳道、游泳、皮划艇等10个项目，外聘专职教练员40余人。2018年省运会，龙泉取得11.64块金牌、5块银牌、4块铜牌的好成绩，创造我市省运会历史新佳成绩。我市承办的丽水市队县办项目女子排球队取得省运会第六名成绩，沙排女子乙组取得1块银牌和1个第四的成绩。现有省级阳光体育后备人才基地1个、青少年体育俱乐部5个、全国特色学校1所、省级体育特色学校5所。</w:t>
      </w:r>
      <w:r>
        <w:rPr>
          <w:rFonts w:ascii="Times New Roman" w:hAnsi="Times New Roman" w:eastAsia="仿宋_GB2312"/>
          <w:b/>
          <w:bCs/>
          <w:sz w:val="32"/>
          <w:szCs w:val="32"/>
        </w:rPr>
        <w:t>后备人才输送硕果累累。</w:t>
      </w:r>
      <w:r>
        <w:rPr>
          <w:rFonts w:ascii="Times New Roman" w:hAnsi="Times New Roman" w:eastAsia="仿宋_GB2312"/>
          <w:sz w:val="32"/>
          <w:szCs w:val="32"/>
        </w:rPr>
        <w:t>2016年以来，累计向省、市输送运动员36人。2017年全国第十三届运动会，李书毅获U21男排第二名，任郡勃获排球第六名，刘泽一获男篮第三名，吴作城获女子撑杆跳高第七名。吴作城还相继荣获2018年亚洲青年田径锦标赛女子撑杆跳高项目冠军、2019年全国室内田径锦标赛分区赛撑竿跳高冠军。徐亦添荣获2019年全国少年（U16）田径锦标赛女子铅球冠军。2017年安置龙泉籍退役运动员翁春霞。</w:t>
      </w:r>
    </w:p>
    <w:p>
      <w:pPr>
        <w:spacing w:line="360" w:lineRule="auto"/>
        <w:ind w:firstLine="643" w:firstLineChars="200"/>
        <w:rPr>
          <w:rFonts w:ascii="Times New Roman" w:hAnsi="Times New Roman" w:eastAsia="仿宋_GB2312"/>
          <w:sz w:val="32"/>
          <w:szCs w:val="32"/>
        </w:rPr>
      </w:pPr>
      <w:r>
        <w:rPr>
          <w:rFonts w:ascii="Times New Roman" w:hAnsi="Times New Roman" w:eastAsia="仿宋_GB2312"/>
          <w:b/>
          <w:bCs/>
          <w:sz w:val="32"/>
          <w:szCs w:val="32"/>
        </w:rPr>
        <w:t>3.体旅融合发展态势良好，体育产业项目初显剑瓷特征。体育产业发展有所突破。</w:t>
      </w:r>
      <w:r>
        <w:rPr>
          <w:rFonts w:ascii="Times New Roman" w:hAnsi="Times New Roman" w:eastAsia="仿宋_GB2312"/>
          <w:sz w:val="32"/>
          <w:szCs w:val="32"/>
        </w:rPr>
        <w:t>龙泉宝剑小镇建设得到加快，并在着力打造集宝剑文化、特色旅游和制造产业于一体的省重要文化新地标、世界知名刀剑生产和出口基地。每年11月举办龙泉青瓷宝剑文化旅游节，持续创新设计制作青瓷奖牌杯。引进“环浙骑行”赛终点站永久落户龙泉，连续举办四届江南之巅天空骑行挑战赛。在屏南镇坪田村谋划建设“中国越野小镇”，2018年首期建成中国越野小镇指挥与服务中心并投入使用。2020年，青瓷宝剑产业营业收入和增加值分别达23.4亿元、7.47亿元，占GDP比重提升至5.1%，税收超2400万元。</w:t>
      </w:r>
      <w:r>
        <w:rPr>
          <w:rFonts w:ascii="Times New Roman" w:hAnsi="Times New Roman" w:eastAsia="仿宋_GB2312"/>
          <w:b/>
          <w:bCs/>
          <w:sz w:val="32"/>
          <w:szCs w:val="32"/>
        </w:rPr>
        <w:t>赛事运营展现精品特色。</w:t>
      </w:r>
      <w:r>
        <w:rPr>
          <w:rFonts w:ascii="Times New Roman" w:hAnsi="Times New Roman" w:eastAsia="仿宋_GB2312"/>
          <w:sz w:val="32"/>
          <w:szCs w:val="32"/>
        </w:rPr>
        <w:t>主推打造江南之巅·天空越野赛、端午龙舟文化旅游活动、岩樟毅行、龙泉论剑、环浙骑游等赛事。江南之巅·天空越野赛已成为越野市场标杆赛事，并相继被评为“最佳进阶越野赛”和“浙江省十佳商业体育赛事”。江南之巅12公里负重越野赛、环浙骑行</w:t>
      </w:r>
      <w:r>
        <w:rPr>
          <w:rFonts w:hint="eastAsia" w:ascii="Times New Roman" w:hAnsi="Times New Roman" w:eastAsia="仿宋_GB2312"/>
          <w:sz w:val="32"/>
          <w:szCs w:val="32"/>
          <w:lang w:eastAsia="zh-CN"/>
        </w:rPr>
        <w:t>•</w:t>
      </w:r>
      <w:r>
        <w:rPr>
          <w:rFonts w:ascii="Times New Roman" w:hAnsi="Times New Roman" w:eastAsia="仿宋_GB2312"/>
          <w:sz w:val="32"/>
          <w:szCs w:val="32"/>
        </w:rPr>
        <w:t>天空自行车</w:t>
      </w:r>
      <w:r>
        <w:rPr>
          <w:rFonts w:hint="eastAsia" w:ascii="Times New Roman" w:hAnsi="Times New Roman" w:eastAsia="仿宋_GB2312"/>
          <w:sz w:val="32"/>
          <w:szCs w:val="32"/>
          <w:lang w:eastAsia="zh-CN"/>
        </w:rPr>
        <w:t>赛</w:t>
      </w:r>
      <w:r>
        <w:rPr>
          <w:rFonts w:ascii="Times New Roman" w:hAnsi="Times New Roman" w:eastAsia="仿宋_GB2312"/>
          <w:sz w:val="32"/>
          <w:szCs w:val="32"/>
        </w:rPr>
        <w:t>、奔跑绿谷登山活动等“江南之巅”天空系列品牌赛事影响力日益明显。端午龙舟文化旅游活动亮点不断，积极引进皮划艇项目，并相继组建青少年和业余两支皮划艇队。江南之巅·天空越野赛、“</w:t>
      </w:r>
      <w:r>
        <w:rPr>
          <w:rFonts w:hint="eastAsia" w:ascii="Times New Roman" w:hAnsi="Times New Roman" w:eastAsia="仿宋_GB2312"/>
          <w:sz w:val="32"/>
          <w:szCs w:val="32"/>
        </w:rPr>
        <w:t>我爱</w:t>
      </w:r>
      <w:r>
        <w:rPr>
          <w:rFonts w:ascii="Times New Roman" w:hAnsi="Times New Roman" w:eastAsia="仿宋_GB2312"/>
          <w:sz w:val="32"/>
          <w:szCs w:val="32"/>
        </w:rPr>
        <w:t>诗画浙江·又见桃花源”大型公益毅行活动、2018“龙泉宝剑杯”端午龙舟赛、“龙泉论剑”传统武术大赛入选省体育产业发展资金项目库，越野跑成功入选省运动休闲旅游优秀项目，龙泉体育公园入选丽水市运动休闲示范基地。</w:t>
      </w:r>
      <w:r>
        <w:rPr>
          <w:rFonts w:ascii="Times New Roman" w:hAnsi="Times New Roman" w:eastAsia="仿宋_GB2312"/>
          <w:b/>
          <w:bCs/>
          <w:sz w:val="32"/>
          <w:szCs w:val="32"/>
        </w:rPr>
        <w:t>“体育+”融合发展带动乡村振兴。</w:t>
      </w:r>
      <w:r>
        <w:rPr>
          <w:rFonts w:ascii="Times New Roman" w:hAnsi="Times New Roman" w:eastAsia="仿宋_GB2312"/>
          <w:sz w:val="32"/>
          <w:szCs w:val="32"/>
        </w:rPr>
        <w:t>建成兰巨现代农业观光园房车露营基地、九姑山体育休闲综合体、查田镇户外拓展基地、八都镇署网户外拓展基地，有效带动周边区块沿线发展。屏南镇相继谋划打造了“坪田-南垟-横溪/车盘坑-地畲-琉华山/坪田-周岱”等越野赛道，有力的推动了沿线体育文化产业的融合发展。</w:t>
      </w:r>
      <w:r>
        <w:rPr>
          <w:rFonts w:ascii="Times New Roman" w:hAnsi="Times New Roman" w:eastAsia="仿宋_GB2312"/>
          <w:b/>
          <w:bCs/>
          <w:sz w:val="32"/>
          <w:szCs w:val="32"/>
        </w:rPr>
        <w:t>体育彩票业绩得以增长。</w:t>
      </w:r>
      <w:r>
        <w:rPr>
          <w:rFonts w:ascii="Times New Roman" w:hAnsi="Times New Roman" w:eastAsia="仿宋_GB2312"/>
          <w:sz w:val="32"/>
          <w:szCs w:val="32"/>
        </w:rPr>
        <w:t>“十三五”期间我市体彩销量逐年增长，体彩销售网点达32个，年销量为4436万元，同比增长80.76%，累计返还公益金844万元。</w:t>
      </w:r>
    </w:p>
    <w:p>
      <w:pPr>
        <w:spacing w:line="580" w:lineRule="exact"/>
        <w:ind w:firstLine="640" w:firstLineChars="200"/>
        <w:rPr>
          <w:rFonts w:ascii="Times New Roman" w:hAnsi="Times New Roman" w:eastAsia="楷体"/>
          <w:sz w:val="32"/>
          <w:szCs w:val="32"/>
        </w:rPr>
      </w:pPr>
      <w:r>
        <w:rPr>
          <w:rFonts w:ascii="Times New Roman" w:hAnsi="Times New Roman" w:eastAsia="楷体"/>
          <w:sz w:val="32"/>
          <w:szCs w:val="32"/>
        </w:rPr>
        <w:t>（二）短板和不足</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三五”期间，我市体育工作存在的短板和不足是：群众体育事业发展地区间、城乡间不平衡不充分的问题仍然存在，体育场地设施等体育公共服务供给仍然不足，大型场馆设施缺乏，体育现代化推进存在困难，部分乡村体育设施陈旧、急需更换，体育设施进公园建设力度仍显不够，至今还未建成一个社会足球场，还不能很好的满足人民群众日益增长的体育健身需求；竞技体育总体规模尚可，但综合竞争力还不够强，后备人才培养还存在短板；体育消费潜力未得到有效释放，体育产业对经济高质量发展的贡献度还不够高，缺乏具有较大影响力的产业项目，“有业态、无体系，有链条、不畅通，有要素、不协同”等问题仍然存在；龙泉品牌赛事处在培育阶段，尚未真正成长为特色知名品牌，“江南之巅”等品牌赛事尚未冲出龙泉市域；推动实施牵一发动全身的重大改革仍有不足，具有龙泉辨识度的体育改革创新成果还不够多等等。这些短板问题制约着龙泉体育事业的进一步发展，需要切实加以解决。</w:t>
      </w:r>
    </w:p>
    <w:p>
      <w:pPr>
        <w:spacing w:line="580" w:lineRule="exact"/>
        <w:ind w:firstLine="640" w:firstLineChars="200"/>
        <w:rPr>
          <w:rFonts w:ascii="Times New Roman" w:hAnsi="Times New Roman" w:eastAsia="楷体"/>
          <w:sz w:val="32"/>
          <w:szCs w:val="32"/>
        </w:rPr>
      </w:pPr>
      <w:r>
        <w:rPr>
          <w:rFonts w:ascii="Times New Roman" w:hAnsi="Times New Roman" w:eastAsia="楷体"/>
          <w:sz w:val="32"/>
          <w:szCs w:val="32"/>
        </w:rPr>
        <w:t>（三）机遇和挑战</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1.“新时代”新发展带给龙泉体育发展新动能。</w:t>
      </w:r>
      <w:r>
        <w:rPr>
          <w:rFonts w:ascii="Times New Roman" w:hAnsi="Times New Roman" w:eastAsia="仿宋_GB2312"/>
          <w:sz w:val="32"/>
          <w:szCs w:val="32"/>
        </w:rPr>
        <w:t>新时代赋予体育新定位、提出新要求、作出新部署。国务院办公厅印发《体育强国建设纲要》，省委、省政府明确了体育强省建设目标，市委、市政府提出建设体育强市目标，龙泉必须明确全面建设体育现代化强市的目标，龙泉体育工作必然将形成强大的发展动能。</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2.“国家战略”新需求提供龙泉体育新途径。</w:t>
      </w:r>
      <w:r>
        <w:rPr>
          <w:rFonts w:ascii="Times New Roman" w:hAnsi="Times New Roman" w:eastAsia="仿宋_GB2312"/>
          <w:sz w:val="32"/>
          <w:szCs w:val="32"/>
        </w:rPr>
        <w:t>随着经济社会发展、人民生活水平提高和“健康中国”“体育强国”“体教融合”等国家战略实施，社会消费结构不断升级，体育消费成为新的热点，全民健身和运动休闲迎来巨大消费市场，体育教育、竞技体育和体育产业发展面临新的机遇，体育成为高品质生活的重要内容，为龙泉体育“十四五”高质量发展提供了重要市场机遇。</w:t>
      </w:r>
    </w:p>
    <w:p>
      <w:pPr>
        <w:spacing w:line="58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3.共同富裕示范区建设促进龙泉体育新格局。</w:t>
      </w:r>
      <w:r>
        <w:rPr>
          <w:rFonts w:ascii="Times New Roman" w:hAnsi="Times New Roman" w:eastAsia="仿宋_GB2312"/>
          <w:sz w:val="32"/>
          <w:szCs w:val="32"/>
        </w:rPr>
        <w:t>浙江省委、省政府已经明确提出建设“共同富裕示范区”的战略目标，国家层面亦予以正式确认。龙泉体育发展应紧跟形势，夯实基础，强化落实，特色发展，助力于共同富裕建设。</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4.疫情防控常态化提出龙泉体育发展新挑战。</w:t>
      </w:r>
      <w:r>
        <w:rPr>
          <w:rFonts w:ascii="Times New Roman" w:hAnsi="Times New Roman" w:eastAsia="仿宋_GB2312"/>
          <w:sz w:val="32"/>
          <w:szCs w:val="32"/>
        </w:rPr>
        <w:t>新冠肺炎疫情影响广泛深远，国际环境日趋复杂，体育对外交流受到严重限制。我国疫情防控进入“常态化”，体育产业投资、体育赛事和群众体育的不稳定性不确定性明显增加，如何实现“在常态化疫情防控中加快推进生产生活秩序全面恢复”的要求，是龙泉体育发展在“十四五”时期需面对的重要挑战。</w:t>
      </w: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二、主要目标</w:t>
      </w:r>
    </w:p>
    <w:p>
      <w:pPr>
        <w:spacing w:line="580" w:lineRule="exact"/>
        <w:ind w:firstLine="640" w:firstLineChars="200"/>
        <w:rPr>
          <w:rFonts w:ascii="Times New Roman" w:hAnsi="Times New Roman" w:eastAsia="楷体"/>
          <w:sz w:val="32"/>
          <w:szCs w:val="32"/>
        </w:rPr>
      </w:pPr>
      <w:r>
        <w:rPr>
          <w:rFonts w:ascii="Times New Roman" w:hAnsi="Times New Roman" w:eastAsia="楷体"/>
          <w:sz w:val="32"/>
          <w:szCs w:val="32"/>
        </w:rPr>
        <w:t>（一）指导思想</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习近平新时代中国特色社会主义思想为指导，全面贯彻党的十九大和十九届二中、三中、四中、五中全会精神，贯彻习近平总书记关于体育工作的重要论述，全面落实体育强国、体育强省建设部署，对标奋力打造“重要窗口示范生”的新要求，坚持以人民为中心，以全面深化体育改革为动力，秉承“丽水之干，担纲丽水之赞”的使命，聚焦“重要窗口”和“共同富裕”示范区建设，聚力“龙泉复兴”发展定位，以打造体育现代化为目标，按照市委、市政府对体育工作的要求与定位，以推动龙泉体育高质量发展为主题，以深化体育供给侧结构性改革为主线，统筹推进群众体育、竞技体育、体育产业发展，为“龙泉复兴”贡献体育力量。</w:t>
      </w:r>
    </w:p>
    <w:p>
      <w:pPr>
        <w:spacing w:line="580" w:lineRule="exact"/>
        <w:ind w:firstLine="640" w:firstLineChars="200"/>
        <w:rPr>
          <w:rFonts w:ascii="Times New Roman" w:hAnsi="Times New Roman" w:eastAsia="楷体"/>
          <w:color w:val="000000"/>
          <w:sz w:val="32"/>
          <w:szCs w:val="32"/>
        </w:rPr>
      </w:pPr>
      <w:r>
        <w:rPr>
          <w:rFonts w:ascii="Times New Roman" w:hAnsi="Times New Roman" w:eastAsia="楷体"/>
          <w:color w:val="000000"/>
          <w:sz w:val="32"/>
          <w:szCs w:val="32"/>
        </w:rPr>
        <w:t>（二）基本原则</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1.坚持党建引领，融入大局。</w:t>
      </w:r>
      <w:r>
        <w:rPr>
          <w:rFonts w:ascii="Times New Roman" w:hAnsi="Times New Roman" w:eastAsia="仿宋_GB2312"/>
          <w:sz w:val="32"/>
          <w:szCs w:val="32"/>
        </w:rPr>
        <w:t>坚定中国特色社会主义体育基本制度，坚定党对体育强国建设的全面领导，</w:t>
      </w:r>
      <w:r>
        <w:rPr>
          <w:rFonts w:ascii="Times New Roman" w:hAnsi="Times New Roman" w:eastAsia="仿宋_GB2312"/>
          <w:color w:val="000000"/>
          <w:sz w:val="32"/>
          <w:szCs w:val="32"/>
        </w:rPr>
        <w:t>推动龙泉体育工作融入政府大局发展，纳入全市发展战略全局，努力纳入市委、市政府中心工作，在融入大局中借势借力，在服务大局中彰显价值，持续提升体育的影响力和贡献率。</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2.坚持为民惠民，窗口展示。</w:t>
      </w:r>
      <w:r>
        <w:rPr>
          <w:rFonts w:ascii="Times New Roman" w:hAnsi="Times New Roman" w:eastAsia="仿宋_GB2312"/>
          <w:color w:val="000000"/>
          <w:sz w:val="32"/>
          <w:szCs w:val="32"/>
        </w:rPr>
        <w:t>牢固树立以人民为中心的发展思想，聚焦体育事业为民服务，从群众最关心的事做起，尽力而为、量力而行，</w:t>
      </w:r>
      <w:r>
        <w:rPr>
          <w:rFonts w:ascii="Times New Roman" w:hAnsi="Times New Roman" w:eastAsia="仿宋_GB2312"/>
          <w:sz w:val="32"/>
          <w:szCs w:val="32"/>
        </w:rPr>
        <w:t>践行以人民为中心、城乡均衡发展和群众体育、竞技体育、体育产业和体育文化“四位一体”协调发展的理念，</w:t>
      </w:r>
      <w:r>
        <w:rPr>
          <w:rFonts w:ascii="Times New Roman" w:hAnsi="Times New Roman" w:eastAsia="仿宋_GB2312"/>
          <w:color w:val="000000"/>
          <w:sz w:val="32"/>
          <w:szCs w:val="32"/>
        </w:rPr>
        <w:t>加快构建更高水平的龙泉全民健身公共服务体系，突显“窗口展示”成果，助力共同富裕。</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3.坚持争先争光，助力复兴。</w:t>
      </w:r>
      <w:r>
        <w:rPr>
          <w:rFonts w:ascii="Times New Roman" w:hAnsi="Times New Roman" w:eastAsia="仿宋_GB2312"/>
          <w:color w:val="000000"/>
          <w:sz w:val="32"/>
          <w:szCs w:val="32"/>
        </w:rPr>
        <w:t>持续巩固拓展、优化提升龙泉竞技体育运动项目总体布局，做实做厚基础夯实项目，落实“体教融合”战略，力争有更多龙泉运动员在各类赛场上崭露头角，获取佳绩，为龙泉复兴事业，争光添彩，贡献体育力量。</w:t>
      </w:r>
    </w:p>
    <w:p>
      <w:pPr>
        <w:spacing w:line="580" w:lineRule="exact"/>
        <w:ind w:firstLine="643" w:firstLineChars="200"/>
        <w:rPr>
          <w:rFonts w:ascii="Times New Roman" w:hAnsi="Times New Roman" w:eastAsia="仿宋_GB2312"/>
          <w:color w:val="000000"/>
          <w:sz w:val="32"/>
          <w:szCs w:val="32"/>
        </w:rPr>
      </w:pPr>
      <w:r>
        <w:rPr>
          <w:rFonts w:ascii="Times New Roman" w:hAnsi="Times New Roman" w:eastAsia="仿宋_GB2312"/>
          <w:b/>
          <w:bCs/>
          <w:color w:val="000000"/>
          <w:sz w:val="32"/>
          <w:szCs w:val="32"/>
        </w:rPr>
        <w:t>4.坚持智慧赋能，整体智治。</w:t>
      </w:r>
      <w:r>
        <w:rPr>
          <w:rFonts w:ascii="Times New Roman" w:hAnsi="Times New Roman" w:eastAsia="仿宋_GB2312"/>
          <w:color w:val="000000"/>
          <w:sz w:val="32"/>
          <w:szCs w:val="32"/>
        </w:rPr>
        <w:t>全面推进龙泉体育数字化改革，以数字化改革引领龙泉体育全方位改革，推动形成龙泉整体智治、高效协同的体育发展治理体系，为龙泉建设体育强市提供坚强保障。</w:t>
      </w:r>
    </w:p>
    <w:p>
      <w:pPr>
        <w:spacing w:line="580" w:lineRule="exact"/>
        <w:ind w:firstLine="640" w:firstLineChars="200"/>
        <w:rPr>
          <w:rFonts w:ascii="Times New Roman" w:hAnsi="Times New Roman" w:eastAsia="楷体"/>
          <w:color w:val="000000"/>
          <w:sz w:val="32"/>
          <w:szCs w:val="32"/>
        </w:rPr>
      </w:pPr>
      <w:r>
        <w:rPr>
          <w:rFonts w:ascii="Times New Roman" w:hAnsi="Times New Roman" w:eastAsia="楷体"/>
          <w:color w:val="000000"/>
          <w:sz w:val="32"/>
          <w:szCs w:val="32"/>
        </w:rPr>
        <w:t>（三）发展定位</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“十四五”期间，</w:t>
      </w:r>
      <w:r>
        <w:rPr>
          <w:rFonts w:ascii="Times New Roman" w:hAnsi="Times New Roman" w:eastAsia="仿宋"/>
          <w:sz w:val="32"/>
          <w:szCs w:val="32"/>
        </w:rPr>
        <w:t>借力“龙泉复兴”发展战略，围绕“生态体育 全民共享”发展思路，努力打造龙泉运动休闲欢乐之城，</w:t>
      </w:r>
      <w:r>
        <w:rPr>
          <w:rFonts w:ascii="Times New Roman" w:hAnsi="Times New Roman" w:eastAsia="仿宋_GB2312"/>
          <w:sz w:val="32"/>
          <w:szCs w:val="32"/>
        </w:rPr>
        <w:t>努力成为省内较具规模和吸引力的运动休闲目的地，山水酷动和畅玩人群的大本营，青少年体育运动的欢乐谷，全省顶级越野赛事的集聚区，长三角地区著名的体育产业、运动休闲、体质健康及体旅融合产业的发展新高地，群众体育蓬勃发展的示范区，体教融合的典型样板。</w:t>
      </w:r>
    </w:p>
    <w:p>
      <w:pPr>
        <w:spacing w:line="580" w:lineRule="exact"/>
        <w:ind w:firstLine="640" w:firstLineChars="200"/>
        <w:rPr>
          <w:rFonts w:ascii="Times New Roman" w:hAnsi="Times New Roman" w:eastAsia="仿宋_GB2312"/>
          <w:sz w:val="32"/>
          <w:szCs w:val="32"/>
        </w:rPr>
      </w:pPr>
      <w:r>
        <w:rPr>
          <w:rFonts w:ascii="Times New Roman" w:hAnsi="Times New Roman" w:eastAsia="仿宋"/>
          <w:sz w:val="32"/>
          <w:szCs w:val="32"/>
        </w:rPr>
        <w:t>到2035年，力争创建为我省体旅融合示范县区及长三角区域重要的运动休闲核心目的地。</w:t>
      </w:r>
      <w:r>
        <w:rPr>
          <w:rFonts w:ascii="Times New Roman" w:hAnsi="Times New Roman" w:eastAsia="仿宋_GB2312"/>
          <w:sz w:val="32"/>
          <w:szCs w:val="32"/>
        </w:rPr>
        <w:t>让龙泉居民群众和外来游客在参与各类体育运动、文体旅游和娱乐活动中品味和接受“</w:t>
      </w:r>
      <w:r>
        <w:rPr>
          <w:rFonts w:ascii="Times New Roman" w:hAnsi="Times New Roman" w:eastAsia="仿宋_GB2312"/>
          <w:b/>
          <w:bCs/>
          <w:sz w:val="32"/>
          <w:szCs w:val="32"/>
        </w:rPr>
        <w:t>时尚龙泉</w:t>
      </w:r>
      <w:r>
        <w:rPr>
          <w:rFonts w:ascii="Times New Roman" w:hAnsi="Times New Roman" w:eastAsia="仿宋_GB2312"/>
          <w:sz w:val="32"/>
          <w:szCs w:val="32"/>
        </w:rPr>
        <w:t>”，在辗转各大运动休闲场地、体育场馆、绿道、山川、险峰、森林和水域中阅读和鉴赏“</w:t>
      </w:r>
      <w:r>
        <w:rPr>
          <w:rFonts w:ascii="Times New Roman" w:hAnsi="Times New Roman" w:eastAsia="仿宋_GB2312"/>
          <w:b/>
          <w:bCs/>
          <w:sz w:val="32"/>
          <w:szCs w:val="32"/>
        </w:rPr>
        <w:t>印象龙泉</w:t>
      </w:r>
      <w:r>
        <w:rPr>
          <w:rFonts w:ascii="Times New Roman" w:hAnsi="Times New Roman" w:eastAsia="仿宋_GB2312"/>
          <w:sz w:val="32"/>
          <w:szCs w:val="32"/>
        </w:rPr>
        <w:t>”，在观赏体育赛事、参与体育运动健身活动和提升体质健康水平中感受和感知“</w:t>
      </w:r>
      <w:r>
        <w:rPr>
          <w:rFonts w:ascii="Times New Roman" w:hAnsi="Times New Roman" w:eastAsia="仿宋_GB2312"/>
          <w:b/>
          <w:bCs/>
          <w:sz w:val="32"/>
          <w:szCs w:val="32"/>
        </w:rPr>
        <w:t>幸福龙泉</w:t>
      </w:r>
      <w:r>
        <w:rPr>
          <w:rFonts w:ascii="Times New Roman" w:hAnsi="Times New Roman" w:eastAsia="仿宋_GB2312"/>
          <w:sz w:val="32"/>
          <w:szCs w:val="32"/>
        </w:rPr>
        <w:t>”，在徜徉于高山峰峦、峡谷绝壁、历史文化、村落民居、古建筑群、古道古桥、森林幽径探险之中领略和体验“</w:t>
      </w:r>
      <w:r>
        <w:rPr>
          <w:rFonts w:ascii="Times New Roman" w:hAnsi="Times New Roman" w:eastAsia="仿宋_GB2312"/>
          <w:b/>
          <w:bCs/>
          <w:sz w:val="32"/>
          <w:szCs w:val="32"/>
        </w:rPr>
        <w:t>魅力龙泉</w:t>
      </w:r>
      <w:r>
        <w:rPr>
          <w:rFonts w:ascii="Times New Roman" w:hAnsi="Times New Roman" w:eastAsia="仿宋_GB2312"/>
          <w:sz w:val="32"/>
          <w:szCs w:val="32"/>
        </w:rPr>
        <w:t>”。</w:t>
      </w:r>
    </w:p>
    <w:p>
      <w:pPr>
        <w:spacing w:line="580" w:lineRule="exact"/>
        <w:ind w:firstLine="640" w:firstLineChars="200"/>
        <w:rPr>
          <w:rFonts w:ascii="Times New Roman" w:hAnsi="Times New Roman" w:eastAsia="楷体"/>
          <w:sz w:val="32"/>
          <w:szCs w:val="32"/>
        </w:rPr>
      </w:pPr>
      <w:r>
        <w:rPr>
          <w:rFonts w:ascii="Times New Roman" w:hAnsi="Times New Roman" w:eastAsia="楷体"/>
          <w:sz w:val="32"/>
          <w:szCs w:val="32"/>
        </w:rPr>
        <w:t>（四）发展战略</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围绕“创新、协调、绿色、开放、共享”五大发展理念和“四个全面”战略布局，以国家、浙江省出台的全民健身计划、竞技体育发展战略和体育产业相关文件为基本依据，以增进人民福祉、提高健康水平为出发点和落脚点，抢抓发展新机遇，高质量融入长三角和海西区，聚力探索龙泉“体育+”高质量发展模式。</w:t>
      </w:r>
    </w:p>
    <w:p>
      <w:pPr>
        <w:spacing w:line="580" w:lineRule="exact"/>
        <w:ind w:firstLine="640" w:firstLineChars="200"/>
        <w:rPr>
          <w:rFonts w:ascii="Times New Roman" w:hAnsi="Times New Roman" w:eastAsia="楷体"/>
          <w:sz w:val="32"/>
          <w:szCs w:val="32"/>
        </w:rPr>
      </w:pPr>
      <w:r>
        <w:rPr>
          <w:rFonts w:ascii="Times New Roman" w:hAnsi="Times New Roman" w:eastAsia="楷体"/>
          <w:sz w:val="32"/>
          <w:szCs w:val="32"/>
        </w:rPr>
        <w:t>（五）主要目标</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到2025年，基本实现或接近实现体育现代化。推动龙泉体育工作全面融入党委、政府大局，形成政府主导有力、社会规范有序，市场充满活力，民众积极参与、社会组织健康发展、公共服务逐步完善的体育发展新格局。群众体育、竞技体育、体育产业、体育文化和体育治理走向丽水前列，并实现以下方向性目标：</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1.全民健身工作质量进一步提升。</w:t>
      </w:r>
      <w:r>
        <w:rPr>
          <w:rFonts w:ascii="Times New Roman" w:hAnsi="Times New Roman" w:eastAsia="仿宋_GB2312"/>
          <w:sz w:val="32"/>
          <w:szCs w:val="32"/>
        </w:rPr>
        <w:t>“十四五”末，龙泉基本建成“全覆盖和较高水平”的全民健身公共服务体系。推动龙泉市体育中心项目落地，推动建设龙泉市体育场、体育馆、游泳馆、全民健身中心，大力建设群众身边的“体育+公园”、“百姓健身房”等全民健身场地设施，形成更加多样和便民的体育场地供给体系，人均体育场地面积达到2.</w:t>
      </w:r>
      <w:r>
        <w:rPr>
          <w:rFonts w:hint="eastAsia" w:ascii="Times New Roman" w:hAnsi="Times New Roman" w:eastAsia="仿宋_GB2312"/>
          <w:sz w:val="32"/>
          <w:szCs w:val="32"/>
        </w:rPr>
        <w:t>88</w:t>
      </w:r>
      <w:r>
        <w:rPr>
          <w:rFonts w:ascii="Times New Roman" w:hAnsi="Times New Roman" w:eastAsia="仿宋_GB2312"/>
          <w:sz w:val="32"/>
          <w:szCs w:val="32"/>
        </w:rPr>
        <w:t>㎡以上，新建社区和行政村体育设施覆盖率达到100%，公共体育设施和符合条件的学校体育场地设施开放率达到100%。加速群众身边的体育社会组织建设及服务能力提升，体育社会团体3A 以上达标率达到50 %以上，新增市级体育社团5个以上。建立丰富多样的全民健身活动赛事体系，形成一批具有广泛参与度和较强社会影响力的全民健身品牌活动项目，全市经常参加体育锻炼人数比例达到</w:t>
      </w:r>
      <w:r>
        <w:rPr>
          <w:rFonts w:hint="eastAsia" w:ascii="Times New Roman" w:hAnsi="Times New Roman" w:eastAsia="仿宋_GB2312"/>
          <w:sz w:val="32"/>
          <w:szCs w:val="32"/>
        </w:rPr>
        <w:t>43</w:t>
      </w:r>
      <w:r>
        <w:rPr>
          <w:rFonts w:ascii="Times New Roman" w:hAnsi="Times New Roman" w:eastAsia="仿宋_GB2312"/>
          <w:sz w:val="32"/>
          <w:szCs w:val="32"/>
        </w:rPr>
        <w:t>%以上。提升群众身边的健身指导水平，国民体质合格率达到</w:t>
      </w:r>
      <w:r>
        <w:rPr>
          <w:rFonts w:hint="eastAsia" w:ascii="Times New Roman" w:hAnsi="Times New Roman" w:eastAsia="仿宋_GB2312"/>
          <w:sz w:val="32"/>
          <w:szCs w:val="32"/>
        </w:rPr>
        <w:t>94.5</w:t>
      </w:r>
      <w:r>
        <w:rPr>
          <w:rFonts w:ascii="Times New Roman" w:hAnsi="Times New Roman" w:eastAsia="仿宋_GB2312"/>
          <w:sz w:val="32"/>
          <w:szCs w:val="32"/>
        </w:rPr>
        <w:t>%以上。</w:t>
      </w:r>
      <w:r>
        <w:rPr>
          <w:rFonts w:ascii="Times New Roman" w:hAnsi="Times New Roman" w:eastAsia="仿宋_GB2312"/>
          <w:color w:val="000000"/>
          <w:sz w:val="32"/>
          <w:szCs w:val="32"/>
        </w:rPr>
        <w:t>建设完成环浙步道龙泉段里程近300公里。</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2.竞技体育的综合实力稳步增强。</w:t>
      </w:r>
      <w:r>
        <w:rPr>
          <w:rFonts w:ascii="Times New Roman" w:hAnsi="Times New Roman" w:eastAsia="仿宋_GB2312"/>
          <w:sz w:val="32"/>
          <w:szCs w:val="32"/>
        </w:rPr>
        <w:t>2021年全运会，争取有龙泉籍运动员参加，全力备战浙江省第十七届运动会和丽水市第五届运动会，确保完成省运会5块金牌任务，并力争取得好成绩。创建各类高水平体育后备人才基地1个以上。加强龙泉优秀中青年教练员、精英运动员、优秀体育后备人才、高水平裁判员的培养。市体育中心在训人数</w:t>
      </w:r>
      <w:r>
        <w:rPr>
          <w:rFonts w:ascii="Times New Roman" w:hAnsi="Times New Roman" w:eastAsia="仿宋_GB2312"/>
          <w:color w:val="000000"/>
          <w:sz w:val="32"/>
          <w:szCs w:val="32"/>
        </w:rPr>
        <w:t>500</w:t>
      </w:r>
      <w:r>
        <w:rPr>
          <w:rFonts w:ascii="Times New Roman" w:hAnsi="Times New Roman" w:eastAsia="仿宋_GB2312"/>
          <w:sz w:val="32"/>
          <w:szCs w:val="32"/>
        </w:rPr>
        <w:t>人以上，各中小学校训练网络在训体育后备人数稳定在</w:t>
      </w:r>
      <w:r>
        <w:rPr>
          <w:rFonts w:hint="eastAsia" w:ascii="Times New Roman" w:hAnsi="Times New Roman" w:eastAsia="仿宋_GB2312"/>
          <w:sz w:val="32"/>
          <w:szCs w:val="32"/>
        </w:rPr>
        <w:t>6</w:t>
      </w:r>
      <w:r>
        <w:rPr>
          <w:rFonts w:ascii="Times New Roman" w:hAnsi="Times New Roman" w:eastAsia="仿宋_GB2312"/>
          <w:sz w:val="32"/>
          <w:szCs w:val="32"/>
        </w:rPr>
        <w:t>00人以上，教练员职数达到7人及以上。</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3.体育产业规模和质量逐步提升。</w:t>
      </w:r>
      <w:r>
        <w:rPr>
          <w:rFonts w:ascii="Times New Roman" w:hAnsi="Times New Roman" w:eastAsia="仿宋_GB2312"/>
          <w:sz w:val="32"/>
          <w:szCs w:val="32"/>
        </w:rPr>
        <w:t>大力发展龙泉体育产业，形成体育产业布局更趋合理，体育产业体系更加完善，体育产业供给更为丰富、体育市场主体更有活力的格局。争取创建省级体育产业示范基地1个以上，省级运动休闲小镇（培育名单）1个。大力发展竞赛表演、运动休闲、健身服务等业态，努力提升体育服务业在体育产业中的比重。重点打造并形成3项以上具有影响力和龙泉辨识度的品牌体育赛事，不断提升办赛层次及水平，积极争取职业体育队伍来龙泉进行表演赛，持续培育打造江南之巅、龙泉论剑、端午龙舟、岩樟毅行、环浙骑游等精品赛事，以赛事引人气，助推产业发展。到“十四五”末，全市体育产业总规模和增加值年均增长10%以上，体育彩票销售额达2.8亿元。</w:t>
      </w:r>
    </w:p>
    <w:p>
      <w:pPr>
        <w:spacing w:line="580" w:lineRule="exact"/>
        <w:ind w:firstLine="640" w:firstLineChars="200"/>
        <w:rPr>
          <w:rFonts w:ascii="Times New Roman" w:hAnsi="Times New Roman" w:eastAsia="黑体"/>
          <w:sz w:val="32"/>
          <w:szCs w:val="32"/>
        </w:rPr>
      </w:pPr>
      <w:r>
        <w:rPr>
          <w:rFonts w:ascii="Times New Roman" w:hAnsi="Times New Roman" w:eastAsia="仿宋_GB2312"/>
          <w:sz w:val="32"/>
          <w:szCs w:val="32"/>
        </w:rPr>
        <w:t xml:space="preserve"> </w:t>
      </w:r>
      <w:r>
        <w:rPr>
          <w:rFonts w:ascii="Times New Roman" w:hAnsi="Times New Roman" w:eastAsia="黑体"/>
          <w:sz w:val="32"/>
          <w:szCs w:val="32"/>
        </w:rPr>
        <w:t>三、主要任务</w:t>
      </w:r>
    </w:p>
    <w:p>
      <w:pPr>
        <w:spacing w:line="580" w:lineRule="exact"/>
        <w:ind w:firstLine="640" w:firstLineChars="200"/>
        <w:rPr>
          <w:rFonts w:ascii="Times New Roman" w:hAnsi="Times New Roman" w:eastAsia="楷体"/>
          <w:color w:val="000000"/>
          <w:sz w:val="32"/>
          <w:szCs w:val="32"/>
        </w:rPr>
      </w:pPr>
      <w:r>
        <w:rPr>
          <w:rFonts w:ascii="Times New Roman" w:hAnsi="Times New Roman" w:eastAsia="仿宋_GB2312"/>
          <w:sz w:val="32"/>
          <w:szCs w:val="32"/>
        </w:rPr>
        <w:t>“十四五”期间，根据实际情况，确定龙泉体育高质量发展的“1项任务+4大工程+1项计划”的“141”发展战略，即：完成1项体育改革发展任务，实施全民健身“系统提升”工程、竞技体育“育鹰引凤”工程、体育产业“品质提振”工程和赛事运营“特色精品”工程等4大工程，推出1个体育领域综合改革计划，具体如下。</w:t>
      </w:r>
    </w:p>
    <w:p>
      <w:pPr>
        <w:spacing w:line="580" w:lineRule="exact"/>
        <w:ind w:firstLine="640" w:firstLineChars="200"/>
        <w:rPr>
          <w:rFonts w:ascii="Times New Roman" w:hAnsi="Times New Roman" w:eastAsia="楷体"/>
          <w:color w:val="000000"/>
          <w:sz w:val="32"/>
          <w:szCs w:val="32"/>
        </w:rPr>
      </w:pPr>
      <w:r>
        <w:rPr>
          <w:rFonts w:ascii="Times New Roman" w:hAnsi="Times New Roman" w:eastAsia="楷体"/>
          <w:color w:val="000000"/>
          <w:sz w:val="32"/>
          <w:szCs w:val="32"/>
        </w:rPr>
        <w:t>（一）体质健康为标，实施全民健身“系统提升”工程</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1.依规制定市“十四五”全民健身计划。</w:t>
      </w:r>
      <w:r>
        <w:rPr>
          <w:rFonts w:ascii="Times New Roman" w:hAnsi="Times New Roman" w:eastAsia="仿宋_GB2312"/>
          <w:sz w:val="32"/>
          <w:szCs w:val="32"/>
        </w:rPr>
        <w:t>依规制定《龙泉市“十四五”全民健身计划（2021-2025年）》，提出适应全市群众体育运动特点的全民健身计划和目标。确保在“十四五”末，龙泉人均体育健身场地面积达到</w:t>
      </w:r>
      <w:r>
        <w:rPr>
          <w:rFonts w:hint="eastAsia" w:ascii="Times New Roman" w:hAnsi="Times New Roman" w:eastAsia="仿宋_GB2312"/>
          <w:sz w:val="32"/>
          <w:szCs w:val="32"/>
        </w:rPr>
        <w:t>2.88</w:t>
      </w:r>
      <w:r>
        <w:rPr>
          <w:rFonts w:ascii="Times New Roman" w:hAnsi="Times New Roman" w:eastAsia="仿宋_GB2312"/>
          <w:sz w:val="32"/>
          <w:szCs w:val="32"/>
        </w:rPr>
        <w:t>㎡以上，社会体育指导员人数继续增长；常规的群众性运动项目和组织达到全覆盖，逐</w:t>
      </w:r>
      <w:r>
        <w:rPr>
          <w:rFonts w:ascii="Times New Roman" w:hAnsi="Times New Roman" w:eastAsia="仿宋_GB2312"/>
          <w:color w:val="000000"/>
          <w:sz w:val="32"/>
          <w:szCs w:val="32"/>
        </w:rPr>
        <w:t>步开展更多的时尚运动项目；在现有体育馆和运动场改建基础上，根据实际情况扩建新的体育运动场馆设施，特别考虑通过土地置换方式建设体育场馆。</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2.</w:t>
      </w:r>
      <w:bookmarkStart w:id="0" w:name="_Hlk59209765"/>
      <w:r>
        <w:rPr>
          <w:rFonts w:ascii="Times New Roman" w:hAnsi="Times New Roman" w:eastAsia="仿宋_GB2312"/>
          <w:b/>
          <w:bCs/>
          <w:sz w:val="32"/>
          <w:szCs w:val="32"/>
        </w:rPr>
        <w:t>系统性打造城市“10分钟健身圈”。</w:t>
      </w:r>
      <w:r>
        <w:rPr>
          <w:rFonts w:ascii="Times New Roman" w:hAnsi="Times New Roman" w:eastAsia="仿宋_GB2312"/>
          <w:sz w:val="32"/>
          <w:szCs w:val="32"/>
        </w:rPr>
        <w:t>结合现代化县城、未来社区、美丽乡村</w:t>
      </w:r>
      <w:r>
        <w:rPr>
          <w:rFonts w:hint="eastAsia" w:ascii="Times New Roman" w:hAnsi="Times New Roman" w:eastAsia="仿宋_GB2312"/>
          <w:sz w:val="32"/>
          <w:szCs w:val="32"/>
        </w:rPr>
        <w:t>、大花园瓯江绿道</w:t>
      </w:r>
      <w:r>
        <w:rPr>
          <w:rFonts w:ascii="Times New Roman" w:hAnsi="Times New Roman" w:eastAsia="仿宋_GB2312"/>
          <w:sz w:val="32"/>
          <w:szCs w:val="32"/>
        </w:rPr>
        <w:t>及运动休闲小镇建设，推进形式多样的集运动、休闲、旅游、康养等多功能融合的全民健身设施建设工程。</w:t>
      </w:r>
      <w:r>
        <w:rPr>
          <w:rFonts w:hint="eastAsia" w:ascii="Times New Roman" w:hAnsi="Times New Roman" w:eastAsia="仿宋_GB2312"/>
          <w:sz w:val="32"/>
          <w:szCs w:val="32"/>
        </w:rPr>
        <w:t>深入推动体育“最多跑一次”改革，加快推进全市公共体育场馆服务大提升，</w:t>
      </w:r>
      <w:r>
        <w:rPr>
          <w:rFonts w:ascii="Times New Roman" w:hAnsi="Times New Roman" w:eastAsia="仿宋_GB2312"/>
          <w:sz w:val="32"/>
          <w:szCs w:val="32"/>
        </w:rPr>
        <w:t>有效利用城市空置场所、高架桥下、公园绿地、废旧厂房等等可利用空间，改造提升体育健身场地，建设健身步道、健身中心。形成群众身边的体育健身空间，推动全民健身场地设施提档升级，融入城市绿道，形成健身环线，构建完善“10分钟健身圈”。进一步提升公共体育服务水平，加快龙泉体育馆区块整体提升改造工程等重大项目建设，加速体育场馆数字化建设。积极落实学校及企事业单位体育场地设施对外开放，提升体育场地设施便民功能，形成宜居、宜动的健康龙泉体育生态链，提高全民共享水平。</w:t>
      </w:r>
      <w:bookmarkEnd w:id="0"/>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3.持续开展丰富多彩的全民健身活动。</w:t>
      </w:r>
      <w:r>
        <w:rPr>
          <w:rFonts w:ascii="Times New Roman" w:hAnsi="Times New Roman" w:eastAsia="仿宋_GB2312"/>
          <w:sz w:val="32"/>
          <w:szCs w:val="32"/>
        </w:rPr>
        <w:t>坚持以人民健康为中心，落实全民健身实施计划，广泛开展群众喜闻乐见的全民健身活动。广泛开展全民健身日、全民健身周、美丽乡村健身行、社区运动会等全民健身活动。积极推行《国家体育锻炼标准》，扶持推广民间民俗优秀传统运动项目，营造全民参与运动健身的良好氛围。继续开展和推广龙舟、篮球、气排球、羽毛球等群众喜闻乐见的运动项目。大力推出足球等群众性比赛。依托龙泉千八线、龙</w:t>
      </w:r>
      <w:r>
        <w:rPr>
          <w:rFonts w:ascii="Times New Roman" w:hAnsi="Times New Roman" w:eastAsia="仿宋_GB2312"/>
          <w:color w:val="auto"/>
          <w:sz w:val="32"/>
          <w:szCs w:val="32"/>
        </w:rPr>
        <w:t>泉溪及</w:t>
      </w:r>
      <w:r>
        <w:rPr>
          <w:rFonts w:ascii="Times New Roman" w:hAnsi="Times New Roman" w:eastAsia="仿宋_GB2312"/>
          <w:color w:val="auto"/>
          <w:sz w:val="32"/>
          <w:szCs w:val="32"/>
          <w:u w:val="none"/>
        </w:rPr>
        <w:t>龙泉山</w:t>
      </w:r>
      <w:r>
        <w:rPr>
          <w:rFonts w:ascii="Times New Roman" w:hAnsi="Times New Roman" w:eastAsia="仿宋_GB2312"/>
          <w:color w:val="auto"/>
          <w:sz w:val="32"/>
          <w:szCs w:val="32"/>
        </w:rPr>
        <w:t>、昴山、棋盘山、披云</w:t>
      </w:r>
      <w:r>
        <w:rPr>
          <w:rFonts w:ascii="Times New Roman" w:hAnsi="Times New Roman" w:eastAsia="仿宋_GB2312"/>
          <w:sz w:val="32"/>
          <w:szCs w:val="32"/>
        </w:rPr>
        <w:t>山、天平山等山水生态优势，以及环浙步道、瓯江绿道、龙泉三大水系及龙泉百余里古道等优势，将全民健身活动和体育产业开发有机结合起来，重点打造和提升龙泉龙舟巡游、竞赛、舞龙表演等活动，积极组织各类健身项目，引入时尚运动休闲项目，丰富群众体育内容，开启全民健身新模式。建立健全群众性赛事活动的激励机制和办赛机制，主动承办浙江省生态运动会等省级以上适合我市群众体育发展的赛事，丰富群众体育内容。定期举办龙泉市运动会，推出市级全民篮球联赛。</w:t>
      </w:r>
    </w:p>
    <w:p>
      <w:pPr>
        <w:pStyle w:val="2"/>
        <w:ind w:firstLine="643"/>
      </w:pPr>
      <w:r>
        <w:rPr>
          <w:rFonts w:eastAsia="仿宋_GB2312"/>
          <w:b/>
          <w:bCs/>
          <w:sz w:val="32"/>
          <w:szCs w:val="32"/>
        </w:rPr>
        <w:t>4.提升健身组织体系与科学健身水平。</w:t>
      </w:r>
      <w:r>
        <w:rPr>
          <w:rFonts w:eastAsia="仿宋_GB2312"/>
          <w:sz w:val="32"/>
          <w:szCs w:val="32"/>
        </w:rPr>
        <w:t>推动《龙泉市体育协会星级管理考评办法（暂行）》实施，压实压强体育组织的社会责任和义务，推动体育组织主动承接政府社会公众服务事项。发挥体育社会组织凝聚、协调和宣教作用，满足人民群众美好生活需要。加强群众体育组织建设，不断健全完善健身站建设，实现全市乡镇（街道）“1+5”体育组织全覆盖，完善体育志愿服务长效机制，提升体育组织质量。加强群众身边的科学健身指导，大力普及科学健身知识，加强“体医融合”，指导群众科学健身，切实发挥社会体育指导员作用。注重促进科学健身成果宣传，推广体育健身新项目、新方法。推进国民体质测定和指导常态化，定期公布监测结果。积极提供高品质全民健身公共服务，推进“健康龙泉”发展。逐步加强和开展群众体育运动的安全、科学健身、技术、赛事、组织等系列培训工作。在大型体育场馆、运动场地、游泳馆（池）、体育公园、各类学校运动场地</w:t>
      </w:r>
      <w:r>
        <w:rPr>
          <w:rFonts w:hint="eastAsia" w:eastAsia="仿宋_GB2312"/>
          <w:sz w:val="32"/>
          <w:szCs w:val="32"/>
        </w:rPr>
        <w:t>科学</w:t>
      </w:r>
      <w:r>
        <w:rPr>
          <w:rFonts w:eastAsia="仿宋_GB2312"/>
          <w:sz w:val="32"/>
          <w:szCs w:val="32"/>
        </w:rPr>
        <w:t>配置除颤仪。</w:t>
      </w:r>
    </w:p>
    <w:p>
      <w:pPr>
        <w:spacing w:line="580" w:lineRule="exact"/>
        <w:ind w:firstLine="640" w:firstLineChars="200"/>
        <w:rPr>
          <w:rFonts w:ascii="Times New Roman" w:hAnsi="Times New Roman" w:eastAsia="楷体"/>
          <w:color w:val="000000"/>
          <w:sz w:val="32"/>
          <w:szCs w:val="32"/>
        </w:rPr>
      </w:pPr>
      <w:r>
        <w:rPr>
          <w:rFonts w:ascii="Times New Roman" w:hAnsi="Times New Roman" w:eastAsia="楷体"/>
          <w:color w:val="000000"/>
          <w:sz w:val="32"/>
          <w:szCs w:val="32"/>
        </w:rPr>
        <w:t>（二）体教融合为机，实施竞技体育“育鹰引凤”工程</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1.构建竞技体育新型模式。</w:t>
      </w:r>
      <w:r>
        <w:rPr>
          <w:rFonts w:ascii="Times New Roman" w:hAnsi="Times New Roman" w:eastAsia="仿宋_GB2312"/>
          <w:sz w:val="32"/>
          <w:szCs w:val="32"/>
        </w:rPr>
        <w:t>动态把握龙泉青少年训练及</w:t>
      </w:r>
      <w:r>
        <w:rPr>
          <w:rFonts w:hint="eastAsia" w:ascii="Times New Roman" w:hAnsi="Times New Roman" w:eastAsia="仿宋_GB2312"/>
          <w:sz w:val="32"/>
          <w:szCs w:val="32"/>
        </w:rPr>
        <w:t>后备</w:t>
      </w:r>
      <w:r>
        <w:rPr>
          <w:rFonts w:ascii="Times New Roman" w:hAnsi="Times New Roman" w:eastAsia="仿宋_GB2312"/>
          <w:sz w:val="32"/>
          <w:szCs w:val="32"/>
        </w:rPr>
        <w:t>人才培养状况，把握一般规律和项目特殊规律，综合评估青少年运动项目影响力和发展潜力，既要向高点站位，站在全市视野，又要立足龙泉实际，统筹兼顾，突出重点。全力发展篮球等优势项目；大力扶持发展田径、游泳等基础大项；着力突破足球等集体球类项目；积极拓展具有一定基础和潜力的项目。鼓励社会力量共同参与竞技体育项目发展。</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2.完善创新人才培养体系。</w:t>
      </w:r>
      <w:r>
        <w:rPr>
          <w:rFonts w:ascii="Times New Roman" w:hAnsi="Times New Roman" w:eastAsia="仿宋_GB2312"/>
          <w:sz w:val="32"/>
          <w:szCs w:val="32"/>
        </w:rPr>
        <w:t>充分发挥“体教融合”战略机遇，以体教深度融合为抓手，完善体制机制，优化竞训体系，积极探索社会力量参与青少年业余训练的培养模式，进一步完善优化业训布局，打造以市体育中心为骨干，以龙泉各类学校办体育、社会办体育为补充，逐步扩充和完善多形式、多渠道、多层次的竞技体育后备人才培养体系。</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3.继续优化运动项目布局。</w:t>
      </w:r>
      <w:r>
        <w:rPr>
          <w:rFonts w:ascii="Times New Roman" w:hAnsi="Times New Roman" w:eastAsia="仿宋_GB2312"/>
          <w:sz w:val="32"/>
          <w:szCs w:val="32"/>
        </w:rPr>
        <w:t>根据“十四五”期间龙泉青少年运动训练目标，认真梳理全市青少年业余训练基础，重新调整青少年训练和竞赛项目布局，突出和确保重点项目和重点运动员的保障工作，继续推动全市竞技体育工作的“一校一特色”。继续强化龙泉三中篮球、排球，江南小学网球等青少年“体教融合”成功范例，总结训练和竞赛经验，出台合作制度，完善相关措施，引导龙泉各级各类学校发掘和培育本校特色运动项目。</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4.合理完善科学竞赛系统。</w:t>
      </w:r>
      <w:r>
        <w:rPr>
          <w:rFonts w:ascii="Times New Roman" w:hAnsi="Times New Roman" w:eastAsia="仿宋_GB2312"/>
          <w:sz w:val="32"/>
          <w:szCs w:val="32"/>
        </w:rPr>
        <w:t xml:space="preserve">推进龙泉青少年竞赛体制改革，建立符合现代体育运动发展规律、与省市竞技体育接轨的体育竞赛制度。对接总局、省局和丽水体育竞赛体系重大改革，与龙泉教育部门合作，在龙泉中小学校建立不同年龄阶段、层层衔接的青少年U系列竞赛体系，优先推出“篮球、足球”等试点联赛。推动体育和教育系统的赛事合作，支持教育、体育部门联合举办青少年赛事。结合龙泉产业特色，创新赛事组织形式，充实赛事项目库，谋划特色项目，在“十四五”末进入省体育大会项目库。  </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5.健全“体教融合”工作机制。</w:t>
      </w:r>
      <w:r>
        <w:rPr>
          <w:rFonts w:ascii="Times New Roman" w:hAnsi="Times New Roman" w:eastAsia="仿宋_GB2312"/>
          <w:sz w:val="32"/>
          <w:szCs w:val="32"/>
        </w:rPr>
        <w:t>加强与市教育局沟通，通过强化学校体育工作力度，深化和落实“体教融合”</w:t>
      </w:r>
      <w:r>
        <w:rPr>
          <w:rFonts w:hint="eastAsia" w:ascii="Times New Roman" w:hAnsi="Times New Roman" w:eastAsia="仿宋_GB2312"/>
          <w:sz w:val="32"/>
          <w:szCs w:val="32"/>
          <w:lang w:eastAsia="zh-CN"/>
        </w:rPr>
        <w:t>“双减”相关政策</w:t>
      </w:r>
      <w:r>
        <w:rPr>
          <w:rFonts w:ascii="Times New Roman" w:hAnsi="Times New Roman" w:eastAsia="仿宋_GB2312"/>
          <w:sz w:val="32"/>
          <w:szCs w:val="32"/>
        </w:rPr>
        <w:t>，力争将龙泉各级学校体育竞训的组织领导、经费投入、队员选拔、训练组织、运动员输送、考核奖励等整体纳入学校考核内容，推动我市青少年训练及后备人才培养工作。</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6.做好重大赛事备战参赛。</w:t>
      </w:r>
      <w:r>
        <w:rPr>
          <w:rFonts w:ascii="Times New Roman" w:hAnsi="Times New Roman" w:eastAsia="仿宋_GB2312"/>
          <w:sz w:val="32"/>
          <w:szCs w:val="32"/>
        </w:rPr>
        <w:t>深刻认识和把握竞技体育发展规律及不同运动项目的制胜规律、备战训练参赛规律、运动队管理规律。加强备战省运会、市运会的阶段总结，强化备战组织管理和训练参赛的服务保障，从实战需要出发，科学训练，强化体能，全力打造为市争光的核心运动队伍。制定重点项目、重点运动员的倒计时备战计划，按照时间节点编制程序化参赛方案。强化龙泉青少年运动队伍管理，细化过程管理，优化环节设置，切实提高备战工作效益，确保完成5块金牌的任务。</w:t>
      </w:r>
    </w:p>
    <w:p>
      <w:pPr>
        <w:spacing w:line="580" w:lineRule="exact"/>
        <w:ind w:firstLine="640" w:firstLineChars="200"/>
        <w:rPr>
          <w:rFonts w:ascii="Times New Roman" w:hAnsi="Times New Roman" w:eastAsia="楷体"/>
          <w:sz w:val="32"/>
          <w:szCs w:val="32"/>
        </w:rPr>
      </w:pPr>
      <w:r>
        <w:rPr>
          <w:rFonts w:ascii="Times New Roman" w:hAnsi="Times New Roman" w:eastAsia="楷体"/>
          <w:sz w:val="32"/>
          <w:szCs w:val="32"/>
        </w:rPr>
        <w:t>（三）体旅融合为核，实施体育产业“品质提振”工程</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1.打造优质运动休闲体验项目。</w:t>
      </w:r>
      <w:r>
        <w:rPr>
          <w:rFonts w:ascii="Times New Roman" w:hAnsi="Times New Roman" w:eastAsia="仿宋_GB2312"/>
          <w:sz w:val="32"/>
          <w:szCs w:val="32"/>
        </w:rPr>
        <w:t>着力打造屏南越野小镇驿站，提供“餐饮住宿、路线指引、安全指导、救援保障”等服务；探索与庆元、景宁两县联合举行江南之巅</w:t>
      </w:r>
      <w:r>
        <w:rPr>
          <w:rFonts w:hint="eastAsia" w:ascii="Times New Roman" w:hAnsi="Times New Roman" w:eastAsia="仿宋_GB2312"/>
          <w:sz w:val="32"/>
          <w:szCs w:val="32"/>
          <w:lang w:eastAsia="zh-CN"/>
        </w:rPr>
        <w:t>•</w:t>
      </w:r>
      <w:r>
        <w:rPr>
          <w:rFonts w:ascii="Times New Roman" w:hAnsi="Times New Roman" w:eastAsia="仿宋_GB2312"/>
          <w:sz w:val="32"/>
          <w:szCs w:val="32"/>
        </w:rPr>
        <w:t>天空越野跑赛事活动，拉动赛事经济；结合</w:t>
      </w:r>
      <w:r>
        <w:rPr>
          <w:rFonts w:hint="eastAsia" w:ascii="Times New Roman" w:hAnsi="Times New Roman" w:eastAsia="仿宋_GB2312"/>
          <w:sz w:val="32"/>
          <w:szCs w:val="32"/>
        </w:rPr>
        <w:t>百山祖</w:t>
      </w:r>
      <w:r>
        <w:rPr>
          <w:rFonts w:ascii="Times New Roman" w:hAnsi="Times New Roman" w:eastAsia="仿宋_GB2312"/>
          <w:sz w:val="32"/>
          <w:szCs w:val="32"/>
        </w:rPr>
        <w:t>国家公园</w:t>
      </w:r>
      <w:r>
        <w:rPr>
          <w:rFonts w:hint="eastAsia" w:ascii="Times New Roman" w:hAnsi="Times New Roman" w:eastAsia="仿宋_GB2312"/>
          <w:sz w:val="32"/>
          <w:szCs w:val="32"/>
        </w:rPr>
        <w:t>八大基地项目</w:t>
      </w:r>
      <w:r>
        <w:rPr>
          <w:rFonts w:ascii="Times New Roman" w:hAnsi="Times New Roman" w:eastAsia="仿宋_GB2312"/>
          <w:sz w:val="32"/>
          <w:szCs w:val="32"/>
        </w:rPr>
        <w:t>建设，</w:t>
      </w:r>
      <w:r>
        <w:rPr>
          <w:rFonts w:hint="eastAsia" w:ascii="Times New Roman" w:hAnsi="Times New Roman" w:eastAsia="仿宋_GB2312"/>
          <w:sz w:val="32"/>
          <w:szCs w:val="32"/>
        </w:rPr>
        <w:t>不断</w:t>
      </w:r>
      <w:r>
        <w:rPr>
          <w:rFonts w:ascii="Times New Roman" w:hAnsi="Times New Roman" w:eastAsia="仿宋_GB2312"/>
          <w:sz w:val="32"/>
          <w:szCs w:val="32"/>
        </w:rPr>
        <w:t>融合要素，强化合作，持续打造特色鲜明、内容丰富、功能完善、服务到位的越野主题生态旅游型省级特色小镇。协调水利、环境、国土和住建等部门，打造龙泉水上运动休闲基地，引进省级以上皮划艇、赛艇、龙舟等项目，引进赛事运作和水上休闲项目产业经营。以“东升小学”为基础，建设航海模型运动基地。推动“文旅”两结合走向“文旅体”三融合，探索在兰巨农业观光园规划增设“五饼二鱼智慧运动、GM5系列、魔鬼滑梯、积木攀岩、森林穿越、蹦床、镭射CS”等项目，开设“童子军训练营、森林穿越、森林魔网、滑鼠、卡丁车、移动射箭射击、水上穿越、飞盘射击、移动射箭、城堡狙击、山水四项、侠客帝国”等项目，为游客和民众提供更为优质的运动休闲体验产品及服务；利用住龙红色小镇、</w:t>
      </w:r>
      <w:r>
        <w:rPr>
          <w:rFonts w:ascii="Times New Roman" w:hAnsi="Times New Roman" w:eastAsia="仿宋_GB2312"/>
          <w:color w:val="2F5496"/>
          <w:sz w:val="32"/>
          <w:szCs w:val="32"/>
          <w:u w:val="single"/>
        </w:rPr>
        <w:t>红</w:t>
      </w:r>
      <w:r>
        <w:rPr>
          <w:rFonts w:ascii="Times New Roman" w:hAnsi="Times New Roman" w:eastAsia="仿宋_GB2312"/>
          <w:sz w:val="32"/>
          <w:szCs w:val="32"/>
        </w:rPr>
        <w:t>军大道建设契机，开展红色旅游活动与赛事产品，结合当地漫游节、乌溪江水域资源，打造红色系列运动休闲产品，在住龙龙泉职工培训和研学基地周边适宜水域开展建设水上嘉年华项目；在屏南镇地畲自然村等适宜区域开展“越野车赛道、露营基地”观光体验项目论证工作，与屏南越野小镇项目相融合，将屏南镇村落散点进行产业串联。</w:t>
      </w:r>
    </w:p>
    <w:p>
      <w:pPr>
        <w:spacing w:line="580" w:lineRule="exact"/>
        <w:ind w:firstLine="643" w:firstLineChars="200"/>
        <w:rPr>
          <w:rFonts w:ascii="Times New Roman" w:hAnsi="Times New Roman" w:eastAsia="仿宋_GB2312"/>
          <w:b/>
          <w:bCs/>
          <w:color w:val="FF0000"/>
          <w:sz w:val="32"/>
          <w:szCs w:val="32"/>
        </w:rPr>
      </w:pPr>
      <w:r>
        <w:rPr>
          <w:rFonts w:ascii="Times New Roman" w:hAnsi="Times New Roman" w:eastAsia="仿宋_GB2312"/>
          <w:b/>
          <w:bCs/>
          <w:sz w:val="32"/>
          <w:szCs w:val="32"/>
        </w:rPr>
        <w:t>2.打造剑瓷系列产业项目。</w:t>
      </w:r>
      <w:r>
        <w:rPr>
          <w:rFonts w:ascii="Times New Roman" w:hAnsi="Times New Roman" w:eastAsia="仿宋_GB2312"/>
          <w:sz w:val="32"/>
          <w:szCs w:val="32"/>
        </w:rPr>
        <w:t>打造“剑客、刀客”等侠客系列体育赛事及其衍生产品。明确“宝剑文化”与“体育赛事、运动休闲”相融合思路，进行产品研发、商品设计、赛事运作和商业运营，</w:t>
      </w:r>
      <w:r>
        <w:rPr>
          <w:rFonts w:hint="eastAsia" w:ascii="Times New Roman" w:hAnsi="Times New Roman" w:eastAsia="仿宋_GB2312"/>
          <w:sz w:val="32"/>
          <w:szCs w:val="32"/>
        </w:rPr>
        <w:t>探索</w:t>
      </w:r>
      <w:r>
        <w:rPr>
          <w:rFonts w:ascii="Times New Roman" w:hAnsi="Times New Roman" w:eastAsia="仿宋_GB2312"/>
          <w:sz w:val="32"/>
          <w:szCs w:val="32"/>
        </w:rPr>
        <w:t>研发设计“侠客”系列运动休闲体验项目，通过“侠客”系列运动赛事与体验项目的“双向驱动”，促进“宝剑产业”和“运动休闲及旅游产业”互融互通的效果。协调龙泉青瓷协会，利用社会力量和资本，</w:t>
      </w:r>
      <w:r>
        <w:rPr>
          <w:rFonts w:hint="eastAsia" w:ascii="Times New Roman" w:hAnsi="Times New Roman" w:eastAsia="仿宋_GB2312"/>
          <w:sz w:val="32"/>
          <w:szCs w:val="32"/>
        </w:rPr>
        <w:t>探索</w:t>
      </w:r>
      <w:r>
        <w:rPr>
          <w:rFonts w:ascii="Times New Roman" w:hAnsi="Times New Roman" w:eastAsia="仿宋_GB2312"/>
          <w:sz w:val="32"/>
          <w:szCs w:val="32"/>
        </w:rPr>
        <w:t>打造“锻剑”系列的VR&amp;AR虚拟现实休闲运动项目。在龙泉青瓷文化与体育运动方面进行创意突破，以赛事为引领和爆点，打造体育产业新业态。</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3.深耕细作体旅产业融合。</w:t>
      </w:r>
      <w:r>
        <w:rPr>
          <w:rFonts w:ascii="Times New Roman" w:hAnsi="Times New Roman" w:eastAsia="仿宋_GB2312"/>
          <w:sz w:val="32"/>
          <w:szCs w:val="32"/>
        </w:rPr>
        <w:t>围绕“江南之巅</w:t>
      </w:r>
      <w:r>
        <w:rPr>
          <w:rFonts w:hint="eastAsia" w:ascii="Times New Roman" w:hAnsi="Times New Roman" w:eastAsia="仿宋_GB2312"/>
          <w:sz w:val="32"/>
          <w:szCs w:val="32"/>
          <w:lang w:eastAsia="zh-CN"/>
        </w:rPr>
        <w:t>•</w:t>
      </w:r>
      <w:r>
        <w:rPr>
          <w:rFonts w:ascii="Times New Roman" w:hAnsi="Times New Roman" w:eastAsia="仿宋_GB2312"/>
          <w:sz w:val="32"/>
          <w:szCs w:val="32"/>
        </w:rPr>
        <w:t>天空越野赛”等赛事，深挖千八线产业资源和赛事元素，打造具有全球影响力的越野运动小镇。强化“体旅融合”建设思路，加强屏南越野小镇建设，结合“环浙步道”“环丽步道”建设，规划建设“天空之巅”驿站，提供休憩、餐饮、住宿、娱乐、购物、交通等服务，在屏南镇政府所在地逐步增加服务型投入，增添后勤和基本旅游服务，提升屏南越野小镇的吸引力、影响力和经济效益。积极开发新型体旅融合项目。打造住龙镇职工休养休闲运动基地和龙南乡文旅体综合体验线路，开展岩樟乡毅行路线体验提升工程；持续打造市区北隅九姑山体育休闲综合体；打造竹垟畲乡体旅融合项目，丰富畲乡旅游内容，提升游客体验度，吸引人流，实现现金流；在龙泉体育公园建设中，结合旅游元素，提升体育公园的旅游结合度；</w:t>
      </w:r>
      <w:r>
        <w:rPr>
          <w:rFonts w:hint="eastAsia" w:ascii="Times New Roman" w:hAnsi="Times New Roman" w:eastAsia="仿宋_GB2312"/>
          <w:sz w:val="32"/>
          <w:szCs w:val="32"/>
        </w:rPr>
        <w:t>在剑池街道瓯江水域引进青少年皮划艇比赛，积极探索水上运动休闲项目</w:t>
      </w:r>
      <w:r>
        <w:rPr>
          <w:rFonts w:ascii="Times New Roman" w:hAnsi="Times New Roman" w:eastAsia="仿宋_GB2312"/>
          <w:sz w:val="32"/>
          <w:szCs w:val="32"/>
        </w:rPr>
        <w:t>；在道太乡、安仁镇的紧水滩水库，在水利、环保政策处理前提下，打造和运营水上运动休闲项目。</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4.激发龙泉体育消费市场需求。</w:t>
      </w:r>
      <w:r>
        <w:rPr>
          <w:rFonts w:ascii="Times New Roman" w:hAnsi="Times New Roman" w:eastAsia="仿宋_GB2312"/>
          <w:sz w:val="32"/>
          <w:szCs w:val="32"/>
        </w:rPr>
        <w:t>以浙江省体育现代化县（市、区）创建为契机，深化龙泉体育供给侧结构性改革，持续提升体育产业项目、体育用品和服务的供给能力，激活古道和绿道经济，促进体育消费升级。充分发挥龙泉群众体育组织健全优势，积极开展线上线下相结合的群众性健身休闲、竞赛表演活动，丰富群众节假日体育赛事活动供给，激发大众体育消费有效需求。拓展龙泉体育健身、观赛、培训、旅游等消费新场景，提升数字体育新服务体验，增强健身休闲消费粘性，形成体育消费新热点。完善体育市场监管服务，营造良好的体育消费环境。</w:t>
      </w:r>
    </w:p>
    <w:p>
      <w:pPr>
        <w:spacing w:line="580" w:lineRule="exact"/>
        <w:ind w:firstLine="640" w:firstLineChars="200"/>
        <w:rPr>
          <w:rFonts w:ascii="Times New Roman" w:hAnsi="Times New Roman" w:eastAsia="楷体"/>
          <w:color w:val="000000"/>
          <w:sz w:val="32"/>
          <w:szCs w:val="32"/>
        </w:rPr>
      </w:pPr>
      <w:r>
        <w:rPr>
          <w:rFonts w:ascii="Times New Roman" w:hAnsi="Times New Roman" w:eastAsia="楷体"/>
          <w:color w:val="000000"/>
          <w:sz w:val="32"/>
          <w:szCs w:val="32"/>
        </w:rPr>
        <w:t>（四）链式营销为法，实施赛事运营“特色精品”工程</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1.承办运营重大和品牌赛事活动。</w:t>
      </w:r>
      <w:r>
        <w:rPr>
          <w:rFonts w:ascii="Times New Roman" w:hAnsi="Times New Roman" w:eastAsia="仿宋_GB2312"/>
          <w:sz w:val="32"/>
          <w:szCs w:val="32"/>
        </w:rPr>
        <w:t>“十四五”期间，继续强化全市传统体育赛事和运动项目的群众性比赛活动，力争承办省生态运动会、青少年锦标赛、市运会等赛事。融合体育产业、青少年竞赛和全民健身需求，推动全市体育赛事的数量、层次和规模、质量不断取得突破和提升，逐步形成“年度有计划，季季有热点，月月有大赛，周周有活动”的体育赛事良性发展态势，促进和形成全市“官办赛事和民间赛事，品牌赛事和自创IP赛事，公益赛事和商业赛事”的合理衔接，并逐渐取得相得益彰的产业效益和丰硕的社会效果。</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2.培育做强品牌赛事和赛事品牌。</w:t>
      </w:r>
      <w:r>
        <w:rPr>
          <w:rFonts w:ascii="Times New Roman" w:hAnsi="Times New Roman" w:eastAsia="仿宋_GB2312"/>
          <w:sz w:val="32"/>
          <w:szCs w:val="32"/>
        </w:rPr>
        <w:t>扩充龙泉体育赛事项目数量，不断丰富赛事内容，完善体育赛事治理。申办适合龙泉基础和特点的国际国内体育比赛。加强山海合作赛事项目落地。引进若干国内外重大单项赛事和具有市场影响力的省内特色赛事，通过山海合作引进自行车等赛事。继续强力打造江南之巅</w:t>
      </w:r>
      <w:r>
        <w:rPr>
          <w:rFonts w:hint="eastAsia" w:ascii="Times New Roman" w:hAnsi="Times New Roman" w:eastAsia="仿宋_GB2312"/>
          <w:sz w:val="32"/>
          <w:szCs w:val="32"/>
          <w:lang w:eastAsia="zh-CN"/>
        </w:rPr>
        <w:t>•</w:t>
      </w:r>
      <w:r>
        <w:rPr>
          <w:rFonts w:ascii="Times New Roman" w:hAnsi="Times New Roman" w:eastAsia="仿宋_GB2312"/>
          <w:sz w:val="32"/>
          <w:szCs w:val="32"/>
        </w:rPr>
        <w:t>天空越野</w:t>
      </w:r>
      <w:r>
        <w:rPr>
          <w:rFonts w:hint="eastAsia" w:ascii="Times New Roman" w:hAnsi="Times New Roman" w:eastAsia="仿宋_GB2312"/>
          <w:sz w:val="32"/>
          <w:szCs w:val="32"/>
          <w:lang w:eastAsia="zh-CN"/>
        </w:rPr>
        <w:t>赛</w:t>
      </w:r>
      <w:r>
        <w:rPr>
          <w:rFonts w:ascii="Times New Roman" w:hAnsi="Times New Roman" w:eastAsia="仿宋_GB2312"/>
          <w:sz w:val="32"/>
          <w:szCs w:val="32"/>
        </w:rPr>
        <w:t>，全力提高办赛层次，提升办赛质量，扩大影响力，并努力迭代升级。继续打造具有龙泉特色与优势的系列赛事，争取在“十四五”期间，更多赛事项目能够列入全省重点培育品牌体育赛事名录库。</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color w:val="000000"/>
          <w:sz w:val="32"/>
          <w:szCs w:val="32"/>
        </w:rPr>
        <w:t>3.做强产业链推动消费规模发展。</w:t>
      </w:r>
      <w:r>
        <w:rPr>
          <w:rFonts w:ascii="Times New Roman" w:hAnsi="Times New Roman" w:eastAsia="仿宋_GB2312"/>
          <w:color w:val="000000"/>
          <w:sz w:val="32"/>
          <w:szCs w:val="32"/>
        </w:rPr>
        <w:t>围绕实施长三角一体化战略，促进长三角体育赛事在龙泉落地推广。积极承办浙江生态运动会、浙江省青少年（中小学生）系列赛事，举办长三角“龙泉论剑”</w:t>
      </w:r>
      <w:r>
        <w:rPr>
          <w:rFonts w:hint="eastAsia" w:ascii="Times New Roman" w:hAnsi="Times New Roman" w:eastAsia="仿宋_GB2312"/>
          <w:color w:val="000000"/>
          <w:sz w:val="32"/>
          <w:szCs w:val="32"/>
          <w:lang w:eastAsia="zh-CN"/>
        </w:rPr>
        <w:t>传统</w:t>
      </w:r>
      <w:r>
        <w:rPr>
          <w:rFonts w:ascii="Times New Roman" w:hAnsi="Times New Roman" w:eastAsia="仿宋_GB2312"/>
          <w:color w:val="000000"/>
          <w:sz w:val="32"/>
          <w:szCs w:val="32"/>
        </w:rPr>
        <w:t>武术大赛，积极对接长三角体育圈全民健身大联动、长三角水上运动节等赛事和活动。深入挖掘全市人文、自然、红色文化及体育文化资源，结合相应体育项目文化特征及需要，主动对接设计和培育具有龙泉自主IP的品牌体育赛事。继续推动以市篮球、足球联赛为代表的群众性赛事，办好“环浙骑行”总决赛，强化龙泉“江南之巅</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天空骑行”挑战赛为代表的龙泉自创IP赛事，继续开发诸如“龙泉千八线嘉年华、国际越野挑战表演赛、古桥定向赛或迷你马拉松赛事，及龙泉山、</w:t>
      </w:r>
      <w:r>
        <w:rPr>
          <w:rFonts w:ascii="Times New Roman" w:hAnsi="Times New Roman" w:eastAsia="仿宋_GB2312"/>
          <w:sz w:val="32"/>
          <w:szCs w:val="32"/>
        </w:rPr>
        <w:t>昴山、披云山、棋盘山、天平山等跑山赛。</w:t>
      </w:r>
    </w:p>
    <w:p>
      <w:pPr>
        <w:spacing w:line="580" w:lineRule="exact"/>
        <w:ind w:firstLine="640" w:firstLineChars="200"/>
        <w:rPr>
          <w:rFonts w:ascii="Times New Roman" w:hAnsi="Times New Roman" w:eastAsia="楷体"/>
          <w:sz w:val="32"/>
          <w:szCs w:val="32"/>
        </w:rPr>
      </w:pPr>
      <w:r>
        <w:rPr>
          <w:rFonts w:ascii="Times New Roman" w:hAnsi="Times New Roman" w:eastAsia="楷体"/>
          <w:sz w:val="32"/>
          <w:szCs w:val="32"/>
        </w:rPr>
        <w:t>（五）实施体育领域综合改革，争做重要窗口建设示范生</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1.加快推进体育数字化改革。</w:t>
      </w:r>
      <w:r>
        <w:rPr>
          <w:rFonts w:ascii="Times New Roman" w:hAnsi="Times New Roman" w:eastAsia="仿宋_GB2312"/>
          <w:sz w:val="32"/>
          <w:szCs w:val="32"/>
        </w:rPr>
        <w:t>按照“整体智治”理念，推动龙泉体育领域信息化、智能化、平台化的建设及应用，提升体育行业智慧治理和服务能力。加快体育场地、赛事活动、竞技管理、体育组织等场景应用和共享，为龙泉群众提供更方便更快捷的公共体育服务。</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2.推动社会力量办体育改革。</w:t>
      </w:r>
      <w:r>
        <w:rPr>
          <w:rFonts w:ascii="Times New Roman" w:hAnsi="Times New Roman" w:eastAsia="仿宋_GB2312"/>
          <w:sz w:val="32"/>
          <w:szCs w:val="32"/>
        </w:rPr>
        <w:t>激发社会力量办体育的内在活力。优化龙泉体育发展营商环境，引导社会资本投资龙泉体育产业，完善政府购买服务机制，支持社会力量以合资、独资、</w:t>
      </w:r>
      <w:r>
        <w:rPr>
          <w:rFonts w:hint="eastAsia" w:ascii="Times New Roman" w:hAnsi="Times New Roman" w:eastAsia="仿宋_GB2312"/>
          <w:sz w:val="32"/>
          <w:szCs w:val="32"/>
        </w:rPr>
        <w:t>EPC</w:t>
      </w:r>
      <w:r>
        <w:rPr>
          <w:rFonts w:ascii="Times New Roman" w:hAnsi="Times New Roman" w:eastAsia="仿宋_GB2312"/>
          <w:sz w:val="32"/>
          <w:szCs w:val="32"/>
        </w:rPr>
        <w:t>等模式参与龙泉体育场馆、体育服务综合体、全民健身中心、百姓健身房等体育场地设施建设运营。探索社会力量参与全民健身事业的新模式和新路径。推进体育赛事管理运行机制改革，鼓励支持社会力量办体育赛事活动。逐步完善多元化体育后备人才选拔培养输送机制。</w:t>
      </w:r>
    </w:p>
    <w:p>
      <w:pPr>
        <w:spacing w:line="58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3.深化体育组织和体系改革。</w:t>
      </w:r>
      <w:r>
        <w:rPr>
          <w:rFonts w:ascii="Times New Roman" w:hAnsi="Times New Roman" w:eastAsia="仿宋_GB2312"/>
          <w:sz w:val="32"/>
          <w:szCs w:val="32"/>
        </w:rPr>
        <w:t>推进龙泉市级和乡镇（街道）两级体育组织改革，引领市级体育社团的实体化、规范化、专业化转型，开展部分体育协会的试点改革工作。推动体育组织从市本级到基层的延伸覆盖，更好地发挥桥梁纽带作用。实现乡镇（街道）体育组织基本覆盖，各村（社区）、企事业单位可根据实际在所在单位党组织领导下建立本级体育组织。实施社会体育组织培育工程，争取新增县级体育社团 5 个以上，体育社会团体3A 以上达标率达到50 %以上。加强对龙泉各类体育协会的业务指导和服务，优化各体育社团归口项目设置，进一步激发体育社会组织的新活力、新动能。</w:t>
      </w: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四、实施保障</w:t>
      </w:r>
    </w:p>
    <w:p>
      <w:pPr>
        <w:spacing w:line="580" w:lineRule="exact"/>
        <w:ind w:firstLine="640" w:firstLineChars="200"/>
        <w:rPr>
          <w:rFonts w:ascii="Times New Roman" w:hAnsi="Times New Roman" w:eastAsia="楷体"/>
          <w:sz w:val="32"/>
          <w:szCs w:val="32"/>
        </w:rPr>
      </w:pPr>
      <w:r>
        <w:rPr>
          <w:rFonts w:ascii="Times New Roman" w:hAnsi="Times New Roman" w:eastAsia="楷体"/>
          <w:sz w:val="32"/>
          <w:szCs w:val="32"/>
        </w:rPr>
        <w:t>（一）加强党的领导</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加强新时期党对龙泉体育事业的全面领导，坚决贯彻习近平总书记对体育工作的重要指示精神，自觉践行以人民为中心的发展思想，着力把方向谋大局促改革定政策抓落实。牢固法治为基的理念，不断提高运用法治思维和法治方式深化改革、化解矛盾、应对风险的能力。加大体育工作宣传力度，创新宣传方式，为体育事业高质量发展营造良好舆论环境。</w:t>
      </w:r>
    </w:p>
    <w:p>
      <w:pPr>
        <w:spacing w:line="580" w:lineRule="exact"/>
        <w:ind w:firstLine="640" w:firstLineChars="200"/>
        <w:rPr>
          <w:rFonts w:ascii="Times New Roman" w:hAnsi="Times New Roman" w:eastAsia="楷体"/>
          <w:b/>
          <w:bCs/>
          <w:sz w:val="32"/>
          <w:szCs w:val="32"/>
        </w:rPr>
      </w:pPr>
      <w:r>
        <w:rPr>
          <w:rFonts w:ascii="Times New Roman" w:hAnsi="Times New Roman" w:eastAsia="楷体"/>
          <w:sz w:val="32"/>
          <w:szCs w:val="32"/>
        </w:rPr>
        <w:t>（二）明确职责分工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当好示范生、助力龙泉复兴”的新要求，依托改革破题、创新制胜，将体育工作融入全市经济社会发展大局来统筹推进，持续推进体育治理体系和治理能力现代化建设。逐步形成部门联动、责任清晰、分工明确、齐抓共管的工作协同机制，推动决策更加科学、治理更加精准、服务更加高效。</w:t>
      </w:r>
    </w:p>
    <w:p>
      <w:pPr>
        <w:spacing w:line="560" w:lineRule="exact"/>
        <w:ind w:firstLine="640" w:firstLineChars="200"/>
        <w:rPr>
          <w:rFonts w:ascii="Times New Roman" w:hAnsi="Times New Roman" w:eastAsia="楷体"/>
          <w:sz w:val="32"/>
          <w:szCs w:val="32"/>
        </w:rPr>
      </w:pPr>
      <w:r>
        <w:rPr>
          <w:rFonts w:ascii="Times New Roman" w:hAnsi="Times New Roman" w:eastAsia="楷体"/>
          <w:sz w:val="32"/>
          <w:szCs w:val="32"/>
        </w:rPr>
        <w:t>（三）强化要素保障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强化资金保障，加大龙泉财政对体育事业和体育产业的投入力度，充分发挥浙江省体育产业引导资金、体育产业基金、省级运动休闲小镇资助资金、省级运动休闲基地、运动休闲线路名录库等政府扶持体育发展专项资金的引领带动作用，完善公共财政体育投入机制，支持建立政府主导、社会力量广泛参与的体育发展经费投入机制，加强与政府各部门及相关单位协调，在人才引进、设施建设、体育投资等各方面制定各类优惠政策，完善体育产业政策体系，强化用地保障，科学编制体育场馆设施建设、体育特色小镇、全民健身等专项规划和计划，将用地布局纳入国土空间规划予以保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w:t>
      </w:r>
      <w:r>
        <w:rPr>
          <w:rFonts w:ascii="Times New Roman" w:hAnsi="Times New Roman" w:eastAsia="楷体"/>
          <w:sz w:val="32"/>
          <w:szCs w:val="32"/>
        </w:rPr>
        <w:t>加快市场培育</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探索实施高层次体育项目引进工程，谋划制定重点体育项目、重点体育运营企业、体育协会组织和体育产业企业的合作和项目引进计划。加强与省市体育、文化、旅游部门的联系，加快重大单项体育赛事落地，服务于龙泉体育工作推进。</w:t>
      </w:r>
    </w:p>
    <w:p>
      <w:pPr>
        <w:spacing w:line="560" w:lineRule="exact"/>
        <w:ind w:firstLine="640" w:firstLineChars="200"/>
        <w:rPr>
          <w:rFonts w:ascii="Times New Roman" w:hAnsi="Times New Roman" w:eastAsia="楷体"/>
          <w:sz w:val="32"/>
          <w:szCs w:val="32"/>
        </w:rPr>
      </w:pPr>
      <w:r>
        <w:rPr>
          <w:rFonts w:ascii="Times New Roman" w:hAnsi="Times New Roman" w:eastAsia="仿宋_GB2312"/>
          <w:sz w:val="32"/>
          <w:szCs w:val="32"/>
        </w:rPr>
        <w:t>（五）</w:t>
      </w:r>
      <w:r>
        <w:rPr>
          <w:rFonts w:ascii="Times New Roman" w:hAnsi="Times New Roman" w:eastAsia="楷体"/>
          <w:sz w:val="32"/>
          <w:szCs w:val="32"/>
        </w:rPr>
        <w:t>推进队伍建设</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贯彻落实“从严治党”要求，增强“四个意识”，统筹推进人才队伍建设。努力打造适应“重要窗口”建设的体育铁军，切实提高忠诚担当廉洁的执政能力，增强风险挑战的应对能力；提升精准高效的服务能力，以体育长远发展为目标导向，完善体育系统干部队伍中长期发展培养计划，创新干部综合素质提升和实践能力锻炼方式方法，努力营造体育发展良好的队伍成长环境，增强体育队伍依法行政的意识和能力。</w:t>
      </w:r>
    </w:p>
    <w:p>
      <w:pPr>
        <w:spacing w:line="560" w:lineRule="exact"/>
        <w:ind w:firstLine="640" w:firstLineChars="200"/>
        <w:rPr>
          <w:rFonts w:ascii="Times New Roman" w:hAnsi="Times New Roman" w:eastAsia="仿宋_GB2312"/>
          <w:spacing w:val="-6"/>
          <w:sz w:val="32"/>
          <w:szCs w:val="32"/>
        </w:rPr>
      </w:pPr>
      <w:r>
        <w:rPr>
          <w:rFonts w:ascii="Times New Roman" w:hAnsi="Times New Roman" w:eastAsia="仿宋_GB2312"/>
          <w:sz w:val="32"/>
          <w:szCs w:val="32"/>
        </w:rPr>
        <w:t>附表：</w:t>
      </w:r>
      <w:r>
        <w:rPr>
          <w:rFonts w:ascii="Times New Roman" w:hAnsi="Times New Roman" w:eastAsia="仿宋_GB2312"/>
          <w:spacing w:val="-6"/>
          <w:sz w:val="32"/>
          <w:szCs w:val="32"/>
        </w:rPr>
        <w:t>1.龙泉市体育事业“十四五”发展指标及目标</w:t>
      </w:r>
    </w:p>
    <w:p>
      <w:pPr>
        <w:spacing w:line="560" w:lineRule="exact"/>
        <w:ind w:firstLine="1600" w:firstLineChars="500"/>
        <w:rPr>
          <w:rFonts w:ascii="Times New Roman" w:hAnsi="Times New Roman" w:eastAsia="仿宋_GB2312"/>
          <w:spacing w:val="-6"/>
          <w:sz w:val="32"/>
          <w:szCs w:val="32"/>
        </w:rPr>
      </w:pPr>
      <w:r>
        <w:rPr>
          <w:rFonts w:ascii="Times New Roman" w:hAnsi="Times New Roman" w:eastAsia="仿宋_GB2312"/>
          <w:sz w:val="32"/>
          <w:szCs w:val="32"/>
        </w:rPr>
        <w:t>2.</w:t>
      </w:r>
      <w:r>
        <w:rPr>
          <w:rFonts w:ascii="Times New Roman" w:hAnsi="Times New Roman" w:eastAsia="仿宋_GB2312"/>
          <w:spacing w:val="-6"/>
          <w:sz w:val="32"/>
          <w:szCs w:val="32"/>
        </w:rPr>
        <w:t>龙泉市体育事业“十四五”重大工程及项目</w:t>
      </w:r>
      <w:r>
        <w:rPr>
          <w:rFonts w:hint="eastAsia" w:ascii="Times New Roman" w:hAnsi="Times New Roman" w:eastAsia="仿宋_GB2312"/>
          <w:spacing w:val="-6"/>
          <w:sz w:val="32"/>
          <w:szCs w:val="32"/>
        </w:rPr>
        <w:t>谋划</w:t>
      </w:r>
    </w:p>
    <w:p>
      <w:pPr>
        <w:spacing w:line="560" w:lineRule="exact"/>
        <w:ind w:firstLine="1600" w:firstLineChars="500"/>
        <w:rPr>
          <w:rFonts w:ascii="Times New Roman" w:hAnsi="Times New Roman" w:eastAsia="仿宋_GB2312"/>
          <w:sz w:val="32"/>
          <w:szCs w:val="32"/>
        </w:rPr>
      </w:pPr>
      <w:r>
        <w:rPr>
          <w:rFonts w:ascii="Times New Roman" w:hAnsi="Times New Roman" w:eastAsia="仿宋_GB2312"/>
          <w:sz w:val="32"/>
          <w:szCs w:val="32"/>
        </w:rPr>
        <w:t>3.龙泉市体育事业“十四五”期间品牌赛事培育清单</w:t>
      </w:r>
    </w:p>
    <w:p>
      <w:pPr>
        <w:rPr>
          <w:rFonts w:ascii="Times New Roman" w:hAnsi="Times New Roman" w:eastAsia="仿宋_GB2312"/>
          <w:spacing w:val="-6"/>
          <w:sz w:val="32"/>
          <w:szCs w:val="32"/>
        </w:rPr>
      </w:pPr>
      <w:r>
        <w:rPr>
          <w:rFonts w:ascii="Times New Roman" w:hAnsi="Times New Roman" w:eastAsia="仿宋_GB2312"/>
          <w:spacing w:val="-6"/>
          <w:sz w:val="32"/>
          <w:szCs w:val="32"/>
        </w:rPr>
        <w:br w:type="page"/>
      </w:r>
    </w:p>
    <w:p>
      <w:pPr>
        <w:pStyle w:val="2"/>
      </w:pPr>
    </w:p>
    <w:p>
      <w:pPr>
        <w:spacing w:line="580" w:lineRule="exact"/>
        <w:rPr>
          <w:rFonts w:ascii="Times New Roman" w:hAnsi="Times New Roman" w:eastAsia="黑体"/>
          <w:bCs/>
          <w:sz w:val="32"/>
          <w:szCs w:val="32"/>
        </w:rPr>
      </w:pPr>
      <w:r>
        <w:rPr>
          <w:rFonts w:ascii="Times New Roman" w:hAnsi="Times New Roman" w:eastAsia="黑体"/>
          <w:bCs/>
          <w:sz w:val="32"/>
          <w:szCs w:val="32"/>
        </w:rPr>
        <w:t>附表1</w:t>
      </w:r>
    </w:p>
    <w:p>
      <w:pPr>
        <w:spacing w:line="580" w:lineRule="exact"/>
        <w:rPr>
          <w:rFonts w:ascii="Times New Roman" w:hAnsi="Times New Roman" w:eastAsia="黑体"/>
          <w:bCs/>
          <w:sz w:val="32"/>
          <w:szCs w:val="32"/>
        </w:rPr>
      </w:pPr>
    </w:p>
    <w:p>
      <w:pPr>
        <w:spacing w:line="580" w:lineRule="exact"/>
        <w:jc w:val="center"/>
        <w:rPr>
          <w:rFonts w:ascii="Times New Roman" w:hAnsi="Times New Roman" w:eastAsia="创艺简标宋"/>
          <w:sz w:val="44"/>
          <w:szCs w:val="44"/>
        </w:rPr>
      </w:pPr>
      <w:r>
        <w:rPr>
          <w:rFonts w:ascii="Times New Roman" w:hAnsi="Times New Roman"/>
          <w:sz w:val="44"/>
          <w:szCs w:val="44"/>
        </w:rPr>
        <w:t>龙泉市体育事业“十四五”发展指标及目标</w:t>
      </w:r>
    </w:p>
    <w:p>
      <w:pPr>
        <w:pStyle w:val="9"/>
        <w:autoSpaceDE/>
        <w:autoSpaceDN/>
        <w:spacing w:line="580" w:lineRule="exact"/>
        <w:ind w:left="0" w:firstLine="640"/>
        <w:rPr>
          <w:rFonts w:ascii="Times New Roman" w:hAnsi="Times New Roman" w:cs="Times New Roman"/>
          <w:lang w:eastAsia="zh-CN"/>
        </w:rPr>
      </w:pPr>
    </w:p>
    <w:tbl>
      <w:tblPr>
        <w:tblStyle w:val="10"/>
        <w:tblW w:w="8712" w:type="dxa"/>
        <w:jc w:val="center"/>
        <w:tblBorders>
          <w:top w:val="single" w:color="auto" w:sz="2" w:space="0"/>
          <w:left w:val="single" w:color="auto" w:sz="2" w:space="0"/>
          <w:bottom w:val="single" w:color="auto" w:sz="2" w:space="0"/>
          <w:right w:val="single" w:color="auto" w:sz="2" w:space="0"/>
          <w:insideH w:val="single" w:color="000000" w:sz="4" w:space="0"/>
          <w:insideV w:val="single" w:color="000000" w:sz="4" w:space="0"/>
        </w:tblBorders>
        <w:tblLayout w:type="fixed"/>
        <w:tblCellMar>
          <w:top w:w="0" w:type="dxa"/>
          <w:left w:w="0" w:type="dxa"/>
          <w:bottom w:w="0" w:type="dxa"/>
          <w:right w:w="0" w:type="dxa"/>
        </w:tblCellMar>
      </w:tblPr>
      <w:tblGrid>
        <w:gridCol w:w="838"/>
        <w:gridCol w:w="6074"/>
        <w:gridCol w:w="1800"/>
      </w:tblGrid>
      <w:tr>
        <w:tblPrEx>
          <w:tblBorders>
            <w:top w:val="single" w:color="auto" w:sz="2" w:space="0"/>
            <w:left w:val="single" w:color="auto" w:sz="2" w:space="0"/>
            <w:bottom w:val="single" w:color="auto" w:sz="2" w:space="0"/>
            <w:right w:val="single" w:color="auto" w:sz="2" w:space="0"/>
            <w:insideH w:val="single" w:color="000000" w:sz="4" w:space="0"/>
            <w:insideV w:val="single" w:color="000000" w:sz="4" w:space="0"/>
          </w:tblBorders>
          <w:tblCellMar>
            <w:top w:w="0" w:type="dxa"/>
            <w:left w:w="0" w:type="dxa"/>
            <w:bottom w:w="0" w:type="dxa"/>
            <w:right w:w="0" w:type="dxa"/>
          </w:tblCellMar>
        </w:tblPrEx>
        <w:trPr>
          <w:trHeight w:val="580" w:hRule="atLeast"/>
          <w:tblHeader/>
          <w:jc w:val="center"/>
        </w:trPr>
        <w:tc>
          <w:tcPr>
            <w:tcW w:w="838" w:type="dxa"/>
            <w:vMerge w:val="restart"/>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黑体"/>
                <w:bCs/>
                <w:sz w:val="28"/>
                <w:szCs w:val="28"/>
              </w:rPr>
            </w:pPr>
            <w:r>
              <w:rPr>
                <w:rFonts w:ascii="Times New Roman" w:hAnsi="Times New Roman" w:eastAsia="黑体"/>
                <w:bCs/>
                <w:sz w:val="28"/>
                <w:szCs w:val="28"/>
              </w:rPr>
              <w:t>领域</w:t>
            </w:r>
          </w:p>
        </w:tc>
        <w:tc>
          <w:tcPr>
            <w:tcW w:w="6074" w:type="dxa"/>
            <w:vMerge w:val="restart"/>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黑体"/>
                <w:bCs/>
                <w:sz w:val="28"/>
                <w:szCs w:val="28"/>
              </w:rPr>
            </w:pPr>
            <w:r>
              <w:rPr>
                <w:rFonts w:ascii="Times New Roman" w:hAnsi="Times New Roman" w:eastAsia="黑体"/>
                <w:bCs/>
                <w:kern w:val="0"/>
                <w:sz w:val="28"/>
                <w:szCs w:val="28"/>
              </w:rPr>
              <w:t>指标</w:t>
            </w:r>
          </w:p>
        </w:tc>
        <w:tc>
          <w:tcPr>
            <w:tcW w:w="1800" w:type="dxa"/>
            <w:vMerge w:val="restart"/>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黑体"/>
                <w:bCs/>
                <w:sz w:val="28"/>
                <w:szCs w:val="28"/>
              </w:rPr>
            </w:pPr>
            <w:r>
              <w:rPr>
                <w:rFonts w:ascii="Times New Roman" w:hAnsi="Times New Roman" w:eastAsia="黑体"/>
                <w:bCs/>
                <w:kern w:val="0"/>
                <w:sz w:val="28"/>
                <w:szCs w:val="28"/>
              </w:rPr>
              <w:t>“十四五”末</w:t>
            </w:r>
          </w:p>
        </w:tc>
      </w:tr>
      <w:tr>
        <w:tblPrEx>
          <w:tblBorders>
            <w:top w:val="single" w:color="auto" w:sz="2" w:space="0"/>
            <w:left w:val="single" w:color="auto" w:sz="2" w:space="0"/>
            <w:bottom w:val="single" w:color="auto" w:sz="2" w:space="0"/>
            <w:right w:val="single" w:color="auto" w:sz="2" w:space="0"/>
            <w:insideH w:val="single" w:color="000000" w:sz="4" w:space="0"/>
            <w:insideV w:val="single" w:color="000000" w:sz="4" w:space="0"/>
          </w:tblBorders>
          <w:tblCellMar>
            <w:top w:w="0" w:type="dxa"/>
            <w:left w:w="0" w:type="dxa"/>
            <w:bottom w:w="0" w:type="dxa"/>
            <w:right w:w="0" w:type="dxa"/>
          </w:tblCellMar>
        </w:tblPrEx>
        <w:trPr>
          <w:trHeight w:val="580" w:hRule="atLeast"/>
          <w:tblHeader/>
          <w:jc w:val="center"/>
        </w:trPr>
        <w:tc>
          <w:tcPr>
            <w:tcW w:w="838" w:type="dxa"/>
            <w:vMerge w:val="continue"/>
            <w:tcBorders>
              <w:bottom w:val="single" w:color="auto" w:sz="4" w:space="0"/>
            </w:tcBorders>
            <w:shd w:val="clear" w:color="auto" w:fill="auto"/>
            <w:tcMar>
              <w:top w:w="8" w:type="dxa"/>
              <w:left w:w="8" w:type="dxa"/>
              <w:right w:w="8" w:type="dxa"/>
            </w:tcMar>
            <w:vAlign w:val="center"/>
          </w:tcPr>
          <w:p>
            <w:pPr>
              <w:spacing w:line="580" w:lineRule="exact"/>
              <w:rPr>
                <w:rFonts w:ascii="Times New Roman" w:hAnsi="Times New Roman" w:eastAsia="黑体"/>
                <w:b/>
                <w:sz w:val="24"/>
              </w:rPr>
            </w:pPr>
          </w:p>
        </w:tc>
        <w:tc>
          <w:tcPr>
            <w:tcW w:w="6074" w:type="dxa"/>
            <w:vMerge w:val="continue"/>
            <w:tcBorders>
              <w:bottom w:val="single" w:color="auto" w:sz="4" w:space="0"/>
            </w:tcBorders>
            <w:shd w:val="clear" w:color="auto" w:fill="auto"/>
            <w:tcMar>
              <w:top w:w="8" w:type="dxa"/>
              <w:left w:w="8" w:type="dxa"/>
              <w:right w:w="8" w:type="dxa"/>
            </w:tcMar>
            <w:vAlign w:val="center"/>
          </w:tcPr>
          <w:p>
            <w:pPr>
              <w:spacing w:line="580" w:lineRule="exact"/>
              <w:rPr>
                <w:rFonts w:ascii="Times New Roman" w:hAnsi="Times New Roman" w:eastAsia="黑体"/>
                <w:b/>
                <w:sz w:val="24"/>
              </w:rPr>
            </w:pPr>
          </w:p>
        </w:tc>
        <w:tc>
          <w:tcPr>
            <w:tcW w:w="1800" w:type="dxa"/>
            <w:vMerge w:val="continue"/>
            <w:shd w:val="clear" w:color="auto" w:fill="auto"/>
            <w:tcMar>
              <w:top w:w="8" w:type="dxa"/>
              <w:left w:w="8" w:type="dxa"/>
              <w:right w:w="8" w:type="dxa"/>
            </w:tcMar>
            <w:vAlign w:val="center"/>
          </w:tcPr>
          <w:p>
            <w:pPr>
              <w:spacing w:line="580" w:lineRule="exact"/>
              <w:rPr>
                <w:rFonts w:ascii="Times New Roman" w:hAnsi="Times New Roman" w:eastAsia="黑体"/>
                <w:b/>
                <w:sz w:val="24"/>
              </w:rPr>
            </w:pPr>
          </w:p>
        </w:tc>
      </w:tr>
      <w:tr>
        <w:tblPrEx>
          <w:tblBorders>
            <w:top w:val="single" w:color="auto" w:sz="2" w:space="0"/>
            <w:left w:val="single" w:color="auto" w:sz="2" w:space="0"/>
            <w:bottom w:val="single" w:color="auto" w:sz="2" w:space="0"/>
            <w:right w:val="single" w:color="auto" w:sz="2"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838" w:type="dxa"/>
            <w:vMerge w:val="restart"/>
            <w:tcBorders>
              <w:top w:val="single" w:color="auto" w:sz="4" w:space="0"/>
            </w:tcBorders>
            <w:shd w:val="clear" w:color="auto" w:fill="auto"/>
            <w:tcMar>
              <w:top w:w="8" w:type="dxa"/>
              <w:left w:w="8" w:type="dxa"/>
              <w:right w:w="8" w:type="dxa"/>
            </w:tcMar>
            <w:textDirection w:val="tbRlV"/>
            <w:vAlign w:val="center"/>
          </w:tcPr>
          <w:p>
            <w:pPr>
              <w:spacing w:line="580" w:lineRule="exact"/>
              <w:jc w:val="center"/>
              <w:rPr>
                <w:rFonts w:ascii="Times New Roman" w:hAnsi="Times New Roman" w:eastAsia="仿宋_GB2312"/>
                <w:sz w:val="28"/>
                <w:szCs w:val="28"/>
              </w:rPr>
            </w:pPr>
            <w:r>
              <w:rPr>
                <w:rFonts w:ascii="Times New Roman" w:hAnsi="Times New Roman" w:eastAsia="仿宋_GB2312"/>
                <w:sz w:val="28"/>
                <w:szCs w:val="28"/>
              </w:rPr>
              <w:t>全民健身</w:t>
            </w:r>
          </w:p>
        </w:tc>
        <w:tc>
          <w:tcPr>
            <w:tcW w:w="6074" w:type="dxa"/>
            <w:tcBorders>
              <w:top w:val="single" w:color="auto" w:sz="4" w:space="0"/>
            </w:tcBorders>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人均体育场地面积（平方米）</w:t>
            </w:r>
          </w:p>
        </w:tc>
        <w:tc>
          <w:tcPr>
            <w:tcW w:w="1800" w:type="dxa"/>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88</w:t>
            </w:r>
          </w:p>
        </w:tc>
      </w:tr>
      <w:tr>
        <w:tblPrEx>
          <w:tblBorders>
            <w:top w:val="single" w:color="auto" w:sz="2" w:space="0"/>
            <w:left w:val="single" w:color="auto" w:sz="2" w:space="0"/>
            <w:bottom w:val="single" w:color="auto" w:sz="2" w:space="0"/>
            <w:right w:val="single" w:color="auto" w:sz="2"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838" w:type="dxa"/>
            <w:vMerge w:val="continue"/>
            <w:shd w:val="clear" w:color="auto" w:fill="auto"/>
            <w:tcMar>
              <w:top w:w="8" w:type="dxa"/>
              <w:left w:w="8" w:type="dxa"/>
              <w:right w:w="8" w:type="dxa"/>
            </w:tcMar>
            <w:textDirection w:val="tbRlV"/>
            <w:vAlign w:val="center"/>
          </w:tcPr>
          <w:p>
            <w:pPr>
              <w:spacing w:line="580" w:lineRule="exact"/>
              <w:jc w:val="center"/>
              <w:rPr>
                <w:rFonts w:ascii="Times New Roman" w:hAnsi="Times New Roman" w:eastAsia="仿宋_GB2312"/>
                <w:sz w:val="28"/>
                <w:szCs w:val="28"/>
              </w:rPr>
            </w:pPr>
          </w:p>
        </w:tc>
        <w:tc>
          <w:tcPr>
            <w:tcW w:w="6074" w:type="dxa"/>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国民体质监测合格率（%）</w:t>
            </w:r>
          </w:p>
        </w:tc>
        <w:tc>
          <w:tcPr>
            <w:tcW w:w="1800" w:type="dxa"/>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sz w:val="28"/>
                <w:szCs w:val="28"/>
              </w:rPr>
              <w:t>9</w:t>
            </w:r>
            <w:r>
              <w:rPr>
                <w:rFonts w:hint="eastAsia" w:ascii="Times New Roman" w:hAnsi="Times New Roman" w:eastAsia="仿宋_GB2312"/>
                <w:color w:val="000000"/>
                <w:sz w:val="28"/>
                <w:szCs w:val="28"/>
              </w:rPr>
              <w:t>4.</w:t>
            </w:r>
            <w:r>
              <w:rPr>
                <w:rFonts w:ascii="Times New Roman" w:hAnsi="Times New Roman" w:eastAsia="仿宋_GB2312"/>
                <w:color w:val="000000"/>
                <w:sz w:val="28"/>
                <w:szCs w:val="28"/>
              </w:rPr>
              <w:t>5</w:t>
            </w:r>
          </w:p>
        </w:tc>
      </w:tr>
      <w:tr>
        <w:tblPrEx>
          <w:tblBorders>
            <w:top w:val="single" w:color="auto" w:sz="2" w:space="0"/>
            <w:left w:val="single" w:color="auto" w:sz="2" w:space="0"/>
            <w:bottom w:val="single" w:color="auto" w:sz="2" w:space="0"/>
            <w:right w:val="single" w:color="auto" w:sz="2"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838" w:type="dxa"/>
            <w:vMerge w:val="continue"/>
            <w:shd w:val="clear" w:color="auto" w:fill="auto"/>
            <w:tcMar>
              <w:top w:w="8" w:type="dxa"/>
              <w:left w:w="8" w:type="dxa"/>
              <w:right w:w="8" w:type="dxa"/>
            </w:tcMar>
            <w:textDirection w:val="tbRlV"/>
            <w:vAlign w:val="center"/>
          </w:tcPr>
          <w:p>
            <w:pPr>
              <w:spacing w:line="580" w:lineRule="exact"/>
              <w:jc w:val="center"/>
              <w:rPr>
                <w:rFonts w:ascii="Times New Roman" w:hAnsi="Times New Roman" w:eastAsia="仿宋_GB2312"/>
                <w:sz w:val="28"/>
                <w:szCs w:val="28"/>
              </w:rPr>
            </w:pPr>
          </w:p>
        </w:tc>
        <w:tc>
          <w:tcPr>
            <w:tcW w:w="6074" w:type="dxa"/>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经常参加体育锻炼的人数（体育人口）占比（%）</w:t>
            </w:r>
          </w:p>
        </w:tc>
        <w:tc>
          <w:tcPr>
            <w:tcW w:w="1800" w:type="dxa"/>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3</w:t>
            </w:r>
          </w:p>
        </w:tc>
      </w:tr>
      <w:tr>
        <w:tblPrEx>
          <w:tblBorders>
            <w:top w:val="single" w:color="auto" w:sz="2" w:space="0"/>
            <w:left w:val="single" w:color="auto" w:sz="2" w:space="0"/>
            <w:bottom w:val="single" w:color="auto" w:sz="2" w:space="0"/>
            <w:right w:val="single" w:color="auto" w:sz="2"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838" w:type="dxa"/>
            <w:vMerge w:val="restart"/>
            <w:shd w:val="clear" w:color="auto" w:fill="auto"/>
            <w:tcMar>
              <w:top w:w="8" w:type="dxa"/>
              <w:left w:w="8" w:type="dxa"/>
              <w:right w:w="8" w:type="dxa"/>
            </w:tcMar>
            <w:textDirection w:val="tbRlV"/>
            <w:vAlign w:val="center"/>
          </w:tcPr>
          <w:p>
            <w:pPr>
              <w:spacing w:line="58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竞技体育</w:t>
            </w:r>
          </w:p>
        </w:tc>
        <w:tc>
          <w:tcPr>
            <w:tcW w:w="6074" w:type="dxa"/>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向省级以上运动队输送运动员（人）</w:t>
            </w:r>
          </w:p>
        </w:tc>
        <w:tc>
          <w:tcPr>
            <w:tcW w:w="1800" w:type="dxa"/>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sz w:val="28"/>
                <w:szCs w:val="28"/>
              </w:rPr>
              <w:t>3</w:t>
            </w:r>
          </w:p>
        </w:tc>
      </w:tr>
      <w:tr>
        <w:tblPrEx>
          <w:tblBorders>
            <w:top w:val="single" w:color="auto" w:sz="2" w:space="0"/>
            <w:left w:val="single" w:color="auto" w:sz="2" w:space="0"/>
            <w:bottom w:val="single" w:color="auto" w:sz="2" w:space="0"/>
            <w:right w:val="single" w:color="auto" w:sz="2"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838" w:type="dxa"/>
            <w:vMerge w:val="continue"/>
            <w:shd w:val="clear" w:color="auto" w:fill="auto"/>
            <w:tcMar>
              <w:top w:w="8" w:type="dxa"/>
              <w:left w:w="8" w:type="dxa"/>
              <w:right w:w="8" w:type="dxa"/>
            </w:tcMar>
            <w:textDirection w:val="tbRlV"/>
            <w:vAlign w:val="center"/>
          </w:tcPr>
          <w:p>
            <w:pPr>
              <w:spacing w:line="580" w:lineRule="exact"/>
              <w:jc w:val="center"/>
              <w:rPr>
                <w:rFonts w:ascii="Times New Roman" w:hAnsi="Times New Roman" w:eastAsia="仿宋_GB2312"/>
                <w:sz w:val="28"/>
                <w:szCs w:val="28"/>
              </w:rPr>
            </w:pPr>
          </w:p>
        </w:tc>
        <w:tc>
          <w:tcPr>
            <w:tcW w:w="6074" w:type="dxa"/>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省运会金（奖）牌（枚）</w:t>
            </w:r>
          </w:p>
        </w:tc>
        <w:tc>
          <w:tcPr>
            <w:tcW w:w="1800" w:type="dxa"/>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sz w:val="28"/>
                <w:szCs w:val="28"/>
              </w:rPr>
              <w:t>5</w:t>
            </w:r>
          </w:p>
        </w:tc>
      </w:tr>
      <w:tr>
        <w:tblPrEx>
          <w:tblBorders>
            <w:top w:val="single" w:color="auto" w:sz="2" w:space="0"/>
            <w:left w:val="single" w:color="auto" w:sz="2" w:space="0"/>
            <w:bottom w:val="single" w:color="auto" w:sz="2" w:space="0"/>
            <w:right w:val="single" w:color="auto" w:sz="2"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838" w:type="dxa"/>
            <w:vMerge w:val="continue"/>
            <w:shd w:val="clear" w:color="auto" w:fill="auto"/>
            <w:tcMar>
              <w:top w:w="8" w:type="dxa"/>
              <w:left w:w="8" w:type="dxa"/>
              <w:right w:w="8" w:type="dxa"/>
            </w:tcMar>
            <w:textDirection w:val="tbRlV"/>
            <w:vAlign w:val="center"/>
          </w:tcPr>
          <w:p>
            <w:pPr>
              <w:spacing w:line="580" w:lineRule="exact"/>
              <w:jc w:val="center"/>
              <w:rPr>
                <w:rFonts w:ascii="Times New Roman" w:hAnsi="Times New Roman" w:eastAsia="仿宋_GB2312"/>
                <w:sz w:val="28"/>
                <w:szCs w:val="28"/>
              </w:rPr>
            </w:pPr>
          </w:p>
        </w:tc>
        <w:tc>
          <w:tcPr>
            <w:tcW w:w="6074" w:type="dxa"/>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仿宋_GB2312"/>
                <w:sz w:val="28"/>
                <w:szCs w:val="28"/>
              </w:rPr>
            </w:pPr>
            <w:r>
              <w:rPr>
                <w:rFonts w:ascii="Times New Roman" w:hAnsi="Times New Roman" w:eastAsia="仿宋_GB2312"/>
                <w:kern w:val="0"/>
                <w:sz w:val="28"/>
                <w:szCs w:val="28"/>
              </w:rPr>
              <w:t>市运会金（奖）牌（枚）</w:t>
            </w:r>
          </w:p>
        </w:tc>
        <w:tc>
          <w:tcPr>
            <w:tcW w:w="1800" w:type="dxa"/>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50</w:t>
            </w:r>
          </w:p>
        </w:tc>
      </w:tr>
      <w:tr>
        <w:tblPrEx>
          <w:tblBorders>
            <w:top w:val="single" w:color="auto" w:sz="2" w:space="0"/>
            <w:left w:val="single" w:color="auto" w:sz="2" w:space="0"/>
            <w:bottom w:val="single" w:color="auto" w:sz="2" w:space="0"/>
            <w:right w:val="single" w:color="auto" w:sz="2"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838" w:type="dxa"/>
            <w:vMerge w:val="continue"/>
            <w:shd w:val="clear" w:color="auto" w:fill="auto"/>
            <w:tcMar>
              <w:top w:w="8" w:type="dxa"/>
              <w:left w:w="8" w:type="dxa"/>
              <w:right w:w="8" w:type="dxa"/>
            </w:tcMar>
            <w:textDirection w:val="tbRlV"/>
            <w:vAlign w:val="center"/>
          </w:tcPr>
          <w:p>
            <w:pPr>
              <w:spacing w:line="580" w:lineRule="exact"/>
              <w:jc w:val="center"/>
              <w:rPr>
                <w:rFonts w:ascii="Times New Roman" w:hAnsi="Times New Roman" w:eastAsia="仿宋_GB2312"/>
                <w:sz w:val="28"/>
                <w:szCs w:val="28"/>
              </w:rPr>
            </w:pPr>
          </w:p>
        </w:tc>
        <w:tc>
          <w:tcPr>
            <w:tcW w:w="6074" w:type="dxa"/>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仿宋_GB2312"/>
                <w:strike/>
                <w:color w:val="FF0000"/>
                <w:sz w:val="28"/>
                <w:szCs w:val="28"/>
              </w:rPr>
            </w:pPr>
            <w:r>
              <w:rPr>
                <w:rFonts w:ascii="Times New Roman" w:hAnsi="Times New Roman" w:eastAsia="仿宋_GB2312"/>
                <w:kern w:val="0"/>
                <w:sz w:val="28"/>
                <w:szCs w:val="28"/>
              </w:rPr>
              <w:t>向市少体校输送运动员（人）</w:t>
            </w:r>
          </w:p>
        </w:tc>
        <w:tc>
          <w:tcPr>
            <w:tcW w:w="1800" w:type="dxa"/>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sz w:val="28"/>
                <w:szCs w:val="28"/>
              </w:rPr>
              <w:t>10</w:t>
            </w:r>
          </w:p>
        </w:tc>
      </w:tr>
      <w:tr>
        <w:tblPrEx>
          <w:tblBorders>
            <w:top w:val="single" w:color="auto" w:sz="2" w:space="0"/>
            <w:left w:val="single" w:color="auto" w:sz="2" w:space="0"/>
            <w:bottom w:val="single" w:color="auto" w:sz="2" w:space="0"/>
            <w:right w:val="single" w:color="auto" w:sz="2"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838" w:type="dxa"/>
            <w:vMerge w:val="restart"/>
            <w:shd w:val="clear" w:color="auto" w:fill="auto"/>
            <w:tcMar>
              <w:top w:w="8" w:type="dxa"/>
              <w:left w:w="8" w:type="dxa"/>
              <w:right w:w="8" w:type="dxa"/>
            </w:tcMar>
            <w:textDirection w:val="tbRlV"/>
            <w:vAlign w:val="center"/>
          </w:tcPr>
          <w:p>
            <w:pPr>
              <w:spacing w:line="580" w:lineRule="exact"/>
              <w:jc w:val="center"/>
              <w:rPr>
                <w:rFonts w:ascii="Times New Roman" w:hAnsi="Times New Roman" w:eastAsia="仿宋_GB2312"/>
                <w:sz w:val="28"/>
                <w:szCs w:val="28"/>
              </w:rPr>
            </w:pPr>
            <w:r>
              <w:rPr>
                <w:rFonts w:ascii="Times New Roman" w:hAnsi="Times New Roman" w:eastAsia="仿宋_GB2312"/>
                <w:sz w:val="28"/>
                <w:szCs w:val="28"/>
              </w:rPr>
              <w:t>体育产业</w:t>
            </w:r>
          </w:p>
        </w:tc>
        <w:tc>
          <w:tcPr>
            <w:tcW w:w="6074" w:type="dxa"/>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体育品牌赛事（个）</w:t>
            </w:r>
          </w:p>
        </w:tc>
        <w:tc>
          <w:tcPr>
            <w:tcW w:w="1800" w:type="dxa"/>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仿宋_GB2312"/>
                <w:color w:val="000000"/>
                <w:sz w:val="28"/>
                <w:szCs w:val="28"/>
              </w:rPr>
            </w:pPr>
            <w:r>
              <w:rPr>
                <w:rFonts w:ascii="Times New Roman" w:hAnsi="Times New Roman" w:eastAsia="仿宋_GB2312"/>
                <w:color w:val="000000"/>
                <w:sz w:val="28"/>
                <w:szCs w:val="28"/>
              </w:rPr>
              <w:t>1-3</w:t>
            </w:r>
          </w:p>
        </w:tc>
      </w:tr>
      <w:tr>
        <w:tblPrEx>
          <w:tblBorders>
            <w:top w:val="single" w:color="auto" w:sz="2" w:space="0"/>
            <w:left w:val="single" w:color="auto" w:sz="2" w:space="0"/>
            <w:bottom w:val="single" w:color="auto" w:sz="2" w:space="0"/>
            <w:right w:val="single" w:color="auto" w:sz="2"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838" w:type="dxa"/>
            <w:vMerge w:val="continue"/>
            <w:shd w:val="clear" w:color="auto" w:fill="auto"/>
            <w:tcMar>
              <w:top w:w="8" w:type="dxa"/>
              <w:left w:w="8" w:type="dxa"/>
              <w:right w:w="8" w:type="dxa"/>
            </w:tcMar>
            <w:textDirection w:val="tbRlV"/>
            <w:vAlign w:val="center"/>
          </w:tcPr>
          <w:p>
            <w:pPr>
              <w:spacing w:line="580" w:lineRule="exact"/>
              <w:rPr>
                <w:rFonts w:ascii="Times New Roman" w:hAnsi="Times New Roman" w:eastAsia="仿宋_GB2312"/>
                <w:sz w:val="28"/>
                <w:szCs w:val="28"/>
              </w:rPr>
            </w:pPr>
          </w:p>
        </w:tc>
        <w:tc>
          <w:tcPr>
            <w:tcW w:w="6074" w:type="dxa"/>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体育彩票销售额（亿元）</w:t>
            </w:r>
          </w:p>
        </w:tc>
        <w:tc>
          <w:tcPr>
            <w:tcW w:w="1800" w:type="dxa"/>
            <w:shd w:val="clear" w:color="auto" w:fill="auto"/>
            <w:tcMar>
              <w:top w:w="8" w:type="dxa"/>
              <w:left w:w="8" w:type="dxa"/>
              <w:right w:w="8" w:type="dxa"/>
            </w:tcMar>
            <w:vAlign w:val="center"/>
          </w:tcPr>
          <w:p>
            <w:pPr>
              <w:spacing w:line="580" w:lineRule="exact"/>
              <w:jc w:val="center"/>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2.8</w:t>
            </w:r>
          </w:p>
        </w:tc>
      </w:tr>
    </w:tbl>
    <w:p>
      <w:pPr>
        <w:spacing w:line="580" w:lineRule="exact"/>
        <w:rPr>
          <w:rFonts w:ascii="Times New Roman" w:hAnsi="Times New Roman" w:eastAsia="创艺简标宋"/>
          <w:b/>
          <w:bCs/>
          <w:sz w:val="44"/>
          <w:szCs w:val="44"/>
        </w:rPr>
      </w:pPr>
    </w:p>
    <w:p>
      <w:pPr>
        <w:pStyle w:val="9"/>
        <w:autoSpaceDE/>
        <w:autoSpaceDN/>
        <w:spacing w:line="580" w:lineRule="exact"/>
        <w:ind w:left="0" w:firstLine="640"/>
        <w:rPr>
          <w:rFonts w:ascii="Times New Roman" w:hAnsi="Times New Roman" w:cs="Times New Roman"/>
        </w:rPr>
        <w:sectPr>
          <w:footerReference r:id="rId6" w:type="first"/>
          <w:footerReference r:id="rId5" w:type="default"/>
          <w:pgSz w:w="11906" w:h="16838"/>
          <w:pgMar w:top="1417" w:right="1531" w:bottom="1701" w:left="1531" w:header="0" w:footer="1417" w:gutter="0"/>
          <w:pgNumType w:fmt="decimal" w:start="1"/>
          <w:cols w:space="0" w:num="1"/>
          <w:titlePg/>
          <w:docGrid w:type="lines" w:linePitch="312" w:charSpace="0"/>
        </w:sectPr>
      </w:pPr>
    </w:p>
    <w:p>
      <w:pPr>
        <w:spacing w:line="580" w:lineRule="exact"/>
        <w:rPr>
          <w:rFonts w:ascii="Times New Roman" w:hAnsi="Times New Roman" w:eastAsia="黑体"/>
          <w:bCs/>
          <w:sz w:val="32"/>
          <w:szCs w:val="32"/>
        </w:rPr>
      </w:pPr>
      <w:r>
        <w:rPr>
          <w:rFonts w:ascii="Times New Roman" w:hAnsi="Times New Roman" w:eastAsia="黑体"/>
          <w:bCs/>
          <w:sz w:val="32"/>
          <w:szCs w:val="32"/>
        </w:rPr>
        <w:t>附表2</w:t>
      </w:r>
    </w:p>
    <w:p>
      <w:pPr>
        <w:pStyle w:val="2"/>
      </w:pPr>
    </w:p>
    <w:p>
      <w:pPr>
        <w:spacing w:line="580" w:lineRule="exact"/>
        <w:jc w:val="center"/>
        <w:rPr>
          <w:rFonts w:ascii="Times New Roman" w:hAnsi="Times New Roman"/>
        </w:rPr>
      </w:pPr>
      <w:r>
        <w:rPr>
          <w:rFonts w:ascii="Times New Roman" w:hAnsi="Times New Roman"/>
          <w:sz w:val="44"/>
          <w:szCs w:val="44"/>
        </w:rPr>
        <w:t>龙泉市体育事业“十四五”期间重大工程及项目</w:t>
      </w:r>
      <w:r>
        <w:rPr>
          <w:rFonts w:hint="eastAsia" w:ascii="Times New Roman" w:hAnsi="Times New Roman"/>
          <w:sz w:val="44"/>
          <w:szCs w:val="44"/>
        </w:rPr>
        <w:t>谋划</w:t>
      </w:r>
    </w:p>
    <w:p>
      <w:pPr>
        <w:pStyle w:val="9"/>
        <w:autoSpaceDE/>
        <w:autoSpaceDN/>
        <w:spacing w:line="580" w:lineRule="exact"/>
        <w:ind w:left="0" w:firstLine="640"/>
        <w:rPr>
          <w:rFonts w:ascii="Times New Roman" w:hAnsi="Times New Roman" w:cs="Times New Roman"/>
          <w:lang w:eastAsia="zh-CN"/>
        </w:rPr>
      </w:pPr>
    </w:p>
    <w:tbl>
      <w:tblPr>
        <w:tblStyle w:val="10"/>
        <w:tblW w:w="5500" w:type="pct"/>
        <w:jc w:val="center"/>
        <w:tblLayout w:type="autofit"/>
        <w:tblCellMar>
          <w:top w:w="0" w:type="dxa"/>
          <w:left w:w="0" w:type="dxa"/>
          <w:bottom w:w="0" w:type="dxa"/>
          <w:right w:w="0" w:type="dxa"/>
        </w:tblCellMar>
      </w:tblPr>
      <w:tblGrid>
        <w:gridCol w:w="519"/>
        <w:gridCol w:w="1474"/>
        <w:gridCol w:w="1326"/>
        <w:gridCol w:w="4719"/>
        <w:gridCol w:w="1998"/>
        <w:gridCol w:w="873"/>
        <w:gridCol w:w="1022"/>
        <w:gridCol w:w="1137"/>
        <w:gridCol w:w="2119"/>
      </w:tblGrid>
      <w:tr>
        <w:tblPrEx>
          <w:tblCellMar>
            <w:top w:w="0" w:type="dxa"/>
            <w:left w:w="0" w:type="dxa"/>
            <w:bottom w:w="0" w:type="dxa"/>
            <w:right w:w="0" w:type="dxa"/>
          </w:tblCellMar>
        </w:tblPrEx>
        <w:trPr>
          <w:trHeight w:val="1058" w:hRule="atLeast"/>
          <w:tblHeader/>
          <w:jc w:val="center"/>
        </w:trPr>
        <w:tc>
          <w:tcPr>
            <w:tcW w:w="1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黑体"/>
                <w:bCs/>
                <w:color w:val="000000"/>
                <w:sz w:val="24"/>
                <w:szCs w:val="24"/>
              </w:rPr>
            </w:pPr>
            <w:r>
              <w:rPr>
                <w:rFonts w:ascii="Times New Roman" w:hAnsi="Times New Roman" w:eastAsia="黑体"/>
                <w:bCs/>
                <w:color w:val="000000"/>
                <w:kern w:val="0"/>
                <w:sz w:val="24"/>
                <w:szCs w:val="24"/>
              </w:rPr>
              <w:t>序号</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黑体"/>
                <w:bCs/>
                <w:color w:val="000000"/>
                <w:sz w:val="24"/>
                <w:szCs w:val="24"/>
              </w:rPr>
            </w:pPr>
            <w:r>
              <w:rPr>
                <w:rFonts w:ascii="Times New Roman" w:hAnsi="Times New Roman" w:eastAsia="黑体"/>
                <w:bCs/>
                <w:color w:val="000000"/>
                <w:kern w:val="0"/>
                <w:sz w:val="24"/>
                <w:szCs w:val="24"/>
              </w:rPr>
              <w:t>项目名称</w:t>
            </w: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黑体"/>
                <w:bCs/>
                <w:color w:val="000000"/>
                <w:sz w:val="24"/>
                <w:szCs w:val="24"/>
              </w:rPr>
            </w:pPr>
            <w:r>
              <w:rPr>
                <w:rFonts w:ascii="Times New Roman" w:hAnsi="Times New Roman" w:eastAsia="黑体"/>
                <w:bCs/>
                <w:color w:val="000000"/>
                <w:kern w:val="0"/>
                <w:sz w:val="24"/>
                <w:szCs w:val="24"/>
              </w:rPr>
              <w:t>项目类型（续建、新建实施、前期谋划类）</w:t>
            </w:r>
          </w:p>
        </w:tc>
        <w:tc>
          <w:tcPr>
            <w:tcW w:w="1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黑体"/>
                <w:bCs/>
                <w:color w:val="000000"/>
                <w:sz w:val="24"/>
                <w:szCs w:val="24"/>
              </w:rPr>
            </w:pPr>
            <w:r>
              <w:rPr>
                <w:rFonts w:ascii="Times New Roman" w:hAnsi="Times New Roman" w:eastAsia="黑体"/>
                <w:bCs/>
                <w:color w:val="000000"/>
                <w:kern w:val="0"/>
                <w:sz w:val="24"/>
                <w:szCs w:val="24"/>
              </w:rPr>
              <w:t>建设内容及规模</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黑体"/>
                <w:bCs/>
                <w:color w:val="000000"/>
                <w:sz w:val="24"/>
                <w:szCs w:val="24"/>
              </w:rPr>
            </w:pPr>
            <w:r>
              <w:rPr>
                <w:rFonts w:ascii="Times New Roman" w:hAnsi="Times New Roman" w:eastAsia="黑体"/>
                <w:bCs/>
                <w:color w:val="000000"/>
                <w:kern w:val="0"/>
                <w:sz w:val="24"/>
                <w:szCs w:val="24"/>
              </w:rPr>
              <w:t>建设地点</w:t>
            </w: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黑体"/>
                <w:bCs/>
                <w:color w:val="000000"/>
                <w:sz w:val="24"/>
                <w:szCs w:val="24"/>
              </w:rPr>
            </w:pPr>
            <w:r>
              <w:rPr>
                <w:rFonts w:ascii="Times New Roman" w:hAnsi="Times New Roman" w:eastAsia="黑体"/>
                <w:bCs/>
                <w:color w:val="000000"/>
                <w:kern w:val="0"/>
                <w:sz w:val="24"/>
                <w:szCs w:val="24"/>
              </w:rPr>
              <w:t>总投资（亿元）</w:t>
            </w:r>
          </w:p>
        </w:tc>
        <w:tc>
          <w:tcPr>
            <w:tcW w:w="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黑体"/>
                <w:bCs/>
                <w:color w:val="000000"/>
                <w:sz w:val="24"/>
                <w:szCs w:val="24"/>
              </w:rPr>
            </w:pPr>
            <w:r>
              <w:rPr>
                <w:rFonts w:ascii="Times New Roman" w:hAnsi="Times New Roman" w:eastAsia="黑体"/>
                <w:bCs/>
                <w:color w:val="000000"/>
                <w:kern w:val="0"/>
                <w:sz w:val="24"/>
                <w:szCs w:val="24"/>
              </w:rPr>
              <w:t>十四五期间计划投资（亿元）</w:t>
            </w:r>
          </w:p>
        </w:tc>
        <w:tc>
          <w:tcPr>
            <w:tcW w:w="3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黑体"/>
                <w:bCs/>
                <w:color w:val="000000"/>
                <w:sz w:val="24"/>
                <w:szCs w:val="24"/>
              </w:rPr>
            </w:pPr>
            <w:r>
              <w:rPr>
                <w:rFonts w:ascii="Times New Roman" w:hAnsi="Times New Roman" w:eastAsia="黑体"/>
                <w:bCs/>
                <w:color w:val="000000"/>
                <w:kern w:val="0"/>
                <w:sz w:val="24"/>
                <w:szCs w:val="24"/>
              </w:rPr>
              <w:t>总用地规模（亩）</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黑体"/>
                <w:bCs/>
                <w:color w:val="000000"/>
                <w:sz w:val="24"/>
                <w:szCs w:val="24"/>
              </w:rPr>
            </w:pPr>
            <w:r>
              <w:rPr>
                <w:rFonts w:ascii="Times New Roman" w:hAnsi="Times New Roman" w:eastAsia="黑体"/>
                <w:bCs/>
                <w:color w:val="000000"/>
                <w:kern w:val="0"/>
                <w:sz w:val="24"/>
                <w:szCs w:val="24"/>
              </w:rPr>
              <w:t>责任单位</w:t>
            </w:r>
          </w:p>
        </w:tc>
      </w:tr>
      <w:tr>
        <w:tblPrEx>
          <w:tblCellMar>
            <w:top w:w="0" w:type="dxa"/>
            <w:left w:w="0" w:type="dxa"/>
            <w:bottom w:w="0" w:type="dxa"/>
            <w:right w:w="0" w:type="dxa"/>
          </w:tblCellMar>
        </w:tblPrEx>
        <w:trPr>
          <w:trHeight w:val="1193" w:hRule="atLeast"/>
          <w:jc w:val="center"/>
        </w:trPr>
        <w:tc>
          <w:tcPr>
            <w:tcW w:w="1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龙泉宝剑小镇</w:t>
            </w: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
                <w:color w:val="000000"/>
                <w:kern w:val="0"/>
                <w:lang w:val="en-NZ"/>
              </w:rPr>
              <w:t>续建</w:t>
            </w:r>
          </w:p>
        </w:tc>
        <w:tc>
          <w:tcPr>
            <w:tcW w:w="1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Chars="200"/>
              <w:jc w:val="left"/>
              <w:textAlignment w:val="center"/>
              <w:rPr>
                <w:rFonts w:ascii="Times New Roman" w:hAnsi="Times New Roman" w:eastAsia="仿宋_GB2312"/>
                <w:color w:val="000000"/>
                <w:kern w:val="0"/>
                <w:szCs w:val="21"/>
              </w:rPr>
            </w:pPr>
            <w:r>
              <w:rPr>
                <w:rFonts w:ascii="Times New Roman" w:hAnsi="Times New Roman" w:eastAsia="仿宋"/>
                <w:color w:val="000000"/>
                <w:kern w:val="0"/>
                <w:lang w:val="en-NZ"/>
              </w:rPr>
              <w:t>按照“一环一带三区”的布局进行建设，“一环”为龙泉宝剑文化朝圣环，“一带”为瓯江两岸滨河休闲游览带，“三区”为文化传承区、旅游休闲区、经典产业区三个分区。小镇内将设置游客参与的拜师铸剑学艺、怀古度假游览、剑客游侠演绎等一系列活动项目，向海内外游客提供一个人文、侠义、怀古的山水型主题旅游新景区，最终建设成一个集宝剑文化、特色旅游和宝剑制造业于一体的浙江省文化新地标、国家5A级旅游景区、世界知名的刀剑生产和出口基地。</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
                <w:color w:val="000000"/>
                <w:kern w:val="0"/>
                <w:lang w:val="en-NZ"/>
              </w:rPr>
              <w:t>龙泉市区西南角城乡结合部</w:t>
            </w: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
                <w:color w:val="000000"/>
                <w:kern w:val="0"/>
              </w:rPr>
              <w:t>51.6</w:t>
            </w:r>
          </w:p>
        </w:tc>
        <w:tc>
          <w:tcPr>
            <w:tcW w:w="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olor w:val="000000"/>
                <w:kern w:val="0"/>
              </w:rPr>
            </w:pPr>
            <w:r>
              <w:rPr>
                <w:rFonts w:ascii="Times New Roman" w:hAnsi="Times New Roman" w:eastAsia="仿宋"/>
                <w:color w:val="000000"/>
                <w:kern w:val="0"/>
              </w:rPr>
              <w:t>35</w:t>
            </w:r>
          </w:p>
        </w:tc>
        <w:tc>
          <w:tcPr>
            <w:tcW w:w="3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olor w:val="000000"/>
                <w:kern w:val="0"/>
              </w:rPr>
            </w:pPr>
            <w:r>
              <w:rPr>
                <w:rFonts w:ascii="Times New Roman" w:hAnsi="Times New Roman" w:eastAsia="仿宋"/>
                <w:color w:val="000000"/>
                <w:kern w:val="0"/>
              </w:rPr>
              <w:t>947</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宝剑小镇指挥部</w:t>
            </w:r>
          </w:p>
        </w:tc>
      </w:tr>
      <w:tr>
        <w:tblPrEx>
          <w:tblCellMar>
            <w:top w:w="0" w:type="dxa"/>
            <w:left w:w="0" w:type="dxa"/>
            <w:bottom w:w="0" w:type="dxa"/>
            <w:right w:w="0" w:type="dxa"/>
          </w:tblCellMar>
        </w:tblPrEx>
        <w:trPr>
          <w:trHeight w:val="1193" w:hRule="atLeast"/>
          <w:jc w:val="center"/>
        </w:trPr>
        <w:tc>
          <w:tcPr>
            <w:tcW w:w="1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2</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屏南越野小镇</w:t>
            </w: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
                <w:color w:val="000000"/>
                <w:kern w:val="0"/>
                <w:lang w:val="en-NZ"/>
              </w:rPr>
              <w:t>续建</w:t>
            </w:r>
          </w:p>
        </w:tc>
        <w:tc>
          <w:tcPr>
            <w:tcW w:w="1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10" w:firstLineChars="100"/>
              <w:textAlignment w:val="center"/>
              <w:rPr>
                <w:rFonts w:ascii="Times New Roman" w:hAnsi="Times New Roman" w:eastAsia="仿宋_GB2312"/>
                <w:color w:val="000000"/>
                <w:szCs w:val="21"/>
              </w:rPr>
            </w:pPr>
            <w:r>
              <w:rPr>
                <w:rFonts w:ascii="Times New Roman" w:hAnsi="Times New Roman" w:eastAsia="仿宋"/>
                <w:bCs/>
                <w:color w:val="000000"/>
                <w:kern w:val="0"/>
                <w:lang w:val="en-NZ"/>
              </w:rPr>
              <w:t>利用龙泉山区的森林、古道、防火道、景区游步道等山地资源，继续培育天空越野系列精品赛事，进一步完善通讯指挥、信息发布、救援指挥、山友救援等功能，打造极限越野小镇。</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
                <w:bCs/>
                <w:color w:val="000000"/>
                <w:kern w:val="0"/>
                <w:lang w:val="en-NZ"/>
              </w:rPr>
              <w:t>龙泉市屏南镇</w:t>
            </w: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3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268</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olor w:val="000000"/>
                <w:szCs w:val="21"/>
              </w:rPr>
            </w:pPr>
            <w:r>
              <w:rPr>
                <w:rFonts w:ascii="Times New Roman" w:hAnsi="Times New Roman" w:eastAsia="仿宋"/>
                <w:bCs/>
                <w:color w:val="000000"/>
                <w:kern w:val="0"/>
                <w:lang w:val="en-NZ"/>
              </w:rPr>
              <w:t>屏南镇政府</w:t>
            </w:r>
          </w:p>
        </w:tc>
      </w:tr>
      <w:tr>
        <w:tblPrEx>
          <w:tblCellMar>
            <w:top w:w="0" w:type="dxa"/>
            <w:left w:w="0" w:type="dxa"/>
            <w:bottom w:w="0" w:type="dxa"/>
            <w:right w:w="0" w:type="dxa"/>
          </w:tblCellMar>
        </w:tblPrEx>
        <w:trPr>
          <w:trHeight w:val="1106" w:hRule="atLeast"/>
          <w:jc w:val="center"/>
        </w:trPr>
        <w:tc>
          <w:tcPr>
            <w:tcW w:w="1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3</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龙泉市体育中心</w:t>
            </w: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新建</w:t>
            </w:r>
          </w:p>
        </w:tc>
        <w:tc>
          <w:tcPr>
            <w:tcW w:w="1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10" w:firstLineChars="100"/>
              <w:textAlignment w:val="center"/>
              <w:rPr>
                <w:rFonts w:ascii="Times New Roman" w:hAnsi="Times New Roman" w:eastAsia="仿宋_GB2312"/>
                <w:color w:val="000000"/>
                <w:szCs w:val="21"/>
              </w:rPr>
            </w:pPr>
            <w:r>
              <w:rPr>
                <w:rFonts w:ascii="Times New Roman" w:hAnsi="Times New Roman" w:eastAsia="仿宋_GB2312"/>
                <w:color w:val="000000"/>
                <w:szCs w:val="21"/>
              </w:rPr>
              <w:t>将体育场和龙泉五中田径场统筹共建，另规划建设体育馆、游泳馆及全民健身中心。</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龙泉市区</w:t>
            </w: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3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150</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市文化和广电旅游体育局</w:t>
            </w:r>
          </w:p>
        </w:tc>
      </w:tr>
      <w:tr>
        <w:tblPrEx>
          <w:tblCellMar>
            <w:top w:w="0" w:type="dxa"/>
            <w:left w:w="0" w:type="dxa"/>
            <w:bottom w:w="0" w:type="dxa"/>
            <w:right w:w="0" w:type="dxa"/>
          </w:tblCellMar>
        </w:tblPrEx>
        <w:trPr>
          <w:trHeight w:val="1433" w:hRule="atLeast"/>
          <w:jc w:val="center"/>
        </w:trPr>
        <w:tc>
          <w:tcPr>
            <w:tcW w:w="1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4</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宝剑大师园（二期）</w:t>
            </w: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新建</w:t>
            </w:r>
          </w:p>
        </w:tc>
        <w:tc>
          <w:tcPr>
            <w:tcW w:w="1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10" w:firstLineChars="100"/>
              <w:textAlignment w:val="center"/>
              <w:rPr>
                <w:rFonts w:ascii="Times New Roman" w:hAnsi="Times New Roman" w:eastAsia="仿宋_GB2312"/>
                <w:color w:val="000000"/>
                <w:szCs w:val="21"/>
              </w:rPr>
            </w:pPr>
            <w:r>
              <w:rPr>
                <w:rFonts w:ascii="Times New Roman" w:hAnsi="Times New Roman" w:eastAsia="仿宋_GB2312"/>
                <w:color w:val="000000"/>
                <w:szCs w:val="21"/>
              </w:rPr>
              <w:t>为省级及以上宝剑大师的创作工作室、销售布展区、生活区、绿化景观等。</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olor w:val="000000"/>
                <w:szCs w:val="21"/>
              </w:rPr>
            </w:pPr>
            <w:r>
              <w:rPr>
                <w:rFonts w:ascii="Times New Roman" w:hAnsi="Times New Roman" w:eastAsia="仿宋"/>
                <w:color w:val="000000"/>
                <w:kern w:val="0"/>
                <w:lang w:val="en-NZ"/>
              </w:rPr>
              <w:t>龙泉市区西南角城乡结合部</w:t>
            </w:r>
            <w:r>
              <w:rPr>
                <w:rFonts w:hint="eastAsia" w:ascii="Times New Roman" w:hAnsi="Times New Roman" w:eastAsia="仿宋"/>
                <w:color w:val="000000"/>
                <w:kern w:val="0"/>
                <w:lang w:val="en-NZ"/>
              </w:rPr>
              <w:t>（宝剑小镇内）</w:t>
            </w: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3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30.849</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市青瓷宝剑产业局</w:t>
            </w:r>
          </w:p>
        </w:tc>
      </w:tr>
      <w:tr>
        <w:tblPrEx>
          <w:tblCellMar>
            <w:top w:w="0" w:type="dxa"/>
            <w:left w:w="0" w:type="dxa"/>
            <w:bottom w:w="0" w:type="dxa"/>
            <w:right w:w="0" w:type="dxa"/>
          </w:tblCellMar>
        </w:tblPrEx>
        <w:trPr>
          <w:trHeight w:val="1395" w:hRule="atLeast"/>
          <w:jc w:val="center"/>
        </w:trPr>
        <w:tc>
          <w:tcPr>
            <w:tcW w:w="1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FF0000"/>
                <w:szCs w:val="21"/>
              </w:rPr>
            </w:pPr>
            <w:r>
              <w:rPr>
                <w:rFonts w:ascii="Times New Roman" w:hAnsi="Times New Roman" w:eastAsia="仿宋_GB2312"/>
                <w:color w:val="000000"/>
                <w:kern w:val="0"/>
                <w:szCs w:val="21"/>
              </w:rPr>
              <w:t>5</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龙泉刀剑新经济产业园</w:t>
            </w: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新建</w:t>
            </w:r>
          </w:p>
        </w:tc>
        <w:tc>
          <w:tcPr>
            <w:tcW w:w="1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10" w:firstLineChars="100"/>
              <w:textAlignment w:val="center"/>
              <w:rPr>
                <w:rFonts w:ascii="Times New Roman" w:hAnsi="Times New Roman" w:eastAsia="仿宋_GB2312"/>
                <w:color w:val="000000"/>
                <w:szCs w:val="21"/>
              </w:rPr>
            </w:pPr>
            <w:r>
              <w:rPr>
                <w:rFonts w:ascii="Times New Roman" w:hAnsi="Times New Roman" w:eastAsia="仿宋_GB2312"/>
                <w:color w:val="000000"/>
                <w:szCs w:val="21"/>
              </w:rPr>
              <w:t>主要建设成为刀剑跨境电商（微商）、动漫刀剑产业、线上直播交易展示体验基地等多功能的刀剑产业园。</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龙泉市</w:t>
            </w:r>
            <w:r>
              <w:rPr>
                <w:rFonts w:ascii="Times New Roman" w:hAnsi="Times New Roman" w:eastAsia="仿宋_GB2312"/>
                <w:color w:val="000000"/>
                <w:szCs w:val="21"/>
                <w:u w:val="single"/>
              </w:rPr>
              <w:t>开发区</w:t>
            </w: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1.5</w:t>
            </w:r>
          </w:p>
        </w:tc>
        <w:tc>
          <w:tcPr>
            <w:tcW w:w="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1.5</w:t>
            </w:r>
          </w:p>
        </w:tc>
        <w:tc>
          <w:tcPr>
            <w:tcW w:w="3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10</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市青瓷宝剑产业局</w:t>
            </w:r>
          </w:p>
        </w:tc>
      </w:tr>
      <w:tr>
        <w:tblPrEx>
          <w:tblCellMar>
            <w:top w:w="0" w:type="dxa"/>
            <w:left w:w="0" w:type="dxa"/>
            <w:bottom w:w="0" w:type="dxa"/>
            <w:right w:w="0" w:type="dxa"/>
          </w:tblCellMar>
        </w:tblPrEx>
        <w:trPr>
          <w:trHeight w:val="1395" w:hRule="atLeast"/>
          <w:jc w:val="center"/>
        </w:trPr>
        <w:tc>
          <w:tcPr>
            <w:tcW w:w="1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国家公园徒步骑行基地</w:t>
            </w: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新建</w:t>
            </w:r>
          </w:p>
        </w:tc>
        <w:tc>
          <w:tcPr>
            <w:tcW w:w="1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10" w:firstLineChars="100"/>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对国家公园一般控制区内古道、步道、巡护道及现状道路进行梳理，串联成网，建立国家公园内部游步道系统和必要的服务设施，开发步行、自行车骑行穿越国家公园产品，打造独具百山祖国家公园特色的徒步骑行基地。</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hint="eastAsia" w:ascii="Times New Roman" w:hAnsi="Times New Roman" w:eastAsia="仿宋_GB2312"/>
                <w:color w:val="000000"/>
                <w:kern w:val="0"/>
                <w:szCs w:val="21"/>
              </w:rPr>
              <w:t>百山祖国家公园龙泉区域</w:t>
            </w: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待定</w:t>
            </w:r>
          </w:p>
        </w:tc>
        <w:tc>
          <w:tcPr>
            <w:tcW w:w="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待定</w:t>
            </w:r>
          </w:p>
        </w:tc>
        <w:tc>
          <w:tcPr>
            <w:tcW w:w="3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国家公园创建办</w:t>
            </w:r>
          </w:p>
          <w:p>
            <w:pPr>
              <w:pStyle w:val="2"/>
              <w:rPr>
                <w:color w:val="000000"/>
              </w:rPr>
            </w:pPr>
            <w:r>
              <w:rPr>
                <w:rFonts w:hint="eastAsia" w:eastAsia="仿宋_GB2312"/>
                <w:color w:val="000000"/>
                <w:szCs w:val="21"/>
              </w:rPr>
              <w:t>交通运输局</w:t>
            </w:r>
          </w:p>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相关乡镇（街道）</w:t>
            </w:r>
          </w:p>
        </w:tc>
      </w:tr>
      <w:tr>
        <w:tblPrEx>
          <w:tblCellMar>
            <w:top w:w="0" w:type="dxa"/>
            <w:left w:w="0" w:type="dxa"/>
            <w:bottom w:w="0" w:type="dxa"/>
            <w:right w:w="0" w:type="dxa"/>
          </w:tblCellMar>
        </w:tblPrEx>
        <w:trPr>
          <w:trHeight w:val="1395" w:hRule="atLeast"/>
          <w:jc w:val="center"/>
        </w:trPr>
        <w:tc>
          <w:tcPr>
            <w:tcW w:w="1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环浙</w:t>
            </w:r>
            <w:r>
              <w:rPr>
                <w:rFonts w:ascii="Times New Roman" w:hAnsi="Times New Roman" w:eastAsia="仿宋_GB2312"/>
                <w:color w:val="000000"/>
                <w:kern w:val="0"/>
                <w:szCs w:val="21"/>
              </w:rPr>
              <w:t>步道”龙泉段</w:t>
            </w: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新建</w:t>
            </w:r>
          </w:p>
        </w:tc>
        <w:tc>
          <w:tcPr>
            <w:tcW w:w="1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10" w:firstLineChars="100"/>
              <w:textAlignment w:val="center"/>
              <w:rPr>
                <w:rFonts w:ascii="Times New Roman" w:hAnsi="Times New Roman" w:eastAsia="仿宋_GB2312"/>
                <w:color w:val="000000"/>
                <w:szCs w:val="21"/>
              </w:rPr>
            </w:pPr>
            <w:r>
              <w:rPr>
                <w:rFonts w:ascii="Times New Roman" w:hAnsi="Times New Roman" w:eastAsia="仿宋_GB2312"/>
                <w:color w:val="000000"/>
                <w:szCs w:val="21"/>
              </w:rPr>
              <w:t>“</w:t>
            </w:r>
            <w:r>
              <w:rPr>
                <w:rFonts w:hint="eastAsia" w:ascii="Times New Roman" w:hAnsi="Times New Roman" w:eastAsia="仿宋_GB2312"/>
                <w:color w:val="000000"/>
                <w:szCs w:val="21"/>
              </w:rPr>
              <w:t>环浙</w:t>
            </w:r>
            <w:r>
              <w:rPr>
                <w:rFonts w:ascii="Times New Roman" w:hAnsi="Times New Roman" w:eastAsia="仿宋_GB2312"/>
                <w:color w:val="000000"/>
                <w:szCs w:val="21"/>
              </w:rPr>
              <w:t>步道”龙泉段总长298.6公里，主要以古道绿道为纽带、以自然生态为基底、以历史文化为特色，打造集体育运动、旅游休闲、文化体验为一</w:t>
            </w:r>
          </w:p>
          <w:p>
            <w:pPr>
              <w:textAlignment w:val="center"/>
              <w:rPr>
                <w:rFonts w:ascii="Times New Roman" w:hAnsi="Times New Roman" w:eastAsia="仿宋_GB2312"/>
                <w:color w:val="000000"/>
                <w:szCs w:val="21"/>
              </w:rPr>
            </w:pPr>
            <w:r>
              <w:rPr>
                <w:rFonts w:ascii="Times New Roman" w:hAnsi="Times New Roman" w:eastAsia="仿宋_GB2312"/>
                <w:color w:val="000000"/>
                <w:szCs w:val="21"/>
              </w:rPr>
              <w:t>体的复合型步道。</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龙泉市域范围</w:t>
            </w: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0.5</w:t>
            </w:r>
          </w:p>
        </w:tc>
        <w:tc>
          <w:tcPr>
            <w:tcW w:w="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0.5</w:t>
            </w:r>
          </w:p>
        </w:tc>
        <w:tc>
          <w:tcPr>
            <w:tcW w:w="3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市文化和广电旅游体育局</w:t>
            </w:r>
          </w:p>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相关乡镇（街道）</w:t>
            </w:r>
          </w:p>
        </w:tc>
      </w:tr>
      <w:tr>
        <w:tblPrEx>
          <w:tblCellMar>
            <w:top w:w="0" w:type="dxa"/>
            <w:left w:w="0" w:type="dxa"/>
            <w:bottom w:w="0" w:type="dxa"/>
            <w:right w:w="0" w:type="dxa"/>
          </w:tblCellMar>
        </w:tblPrEx>
        <w:trPr>
          <w:trHeight w:val="1395" w:hRule="atLeast"/>
          <w:jc w:val="center"/>
        </w:trPr>
        <w:tc>
          <w:tcPr>
            <w:tcW w:w="1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10" w:firstLineChars="100"/>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8</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10" w:firstLineChars="100"/>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瓯江千里绿道龙泉段</w:t>
            </w: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10" w:firstLineChars="100"/>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新建</w:t>
            </w:r>
          </w:p>
        </w:tc>
        <w:tc>
          <w:tcPr>
            <w:tcW w:w="1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10" w:firstLineChars="100"/>
              <w:jc w:val="left"/>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从梧桐口——武溪村，全长约35公里，绿道长约154.0公里，工程建设范围约 354.2 公顷。规划内容为绿道线位设计，绿道类型分析及设计，驿站布置及形式、绿廊设计、绿道标识系统、配套景观设施设计等内容。</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龙泉市域范围</w:t>
            </w: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12</w:t>
            </w:r>
          </w:p>
        </w:tc>
        <w:tc>
          <w:tcPr>
            <w:tcW w:w="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12</w:t>
            </w:r>
          </w:p>
        </w:tc>
        <w:tc>
          <w:tcPr>
            <w:tcW w:w="3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10" w:firstLineChars="100"/>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水利局</w:t>
            </w:r>
          </w:p>
          <w:p>
            <w:pPr>
              <w:ind w:firstLine="210" w:firstLineChars="100"/>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相关乡镇（街道）</w:t>
            </w:r>
          </w:p>
        </w:tc>
      </w:tr>
      <w:tr>
        <w:tblPrEx>
          <w:tblCellMar>
            <w:top w:w="0" w:type="dxa"/>
            <w:left w:w="0" w:type="dxa"/>
            <w:bottom w:w="0" w:type="dxa"/>
            <w:right w:w="0" w:type="dxa"/>
          </w:tblCellMar>
        </w:tblPrEx>
        <w:trPr>
          <w:trHeight w:val="1395" w:hRule="atLeast"/>
          <w:jc w:val="center"/>
        </w:trPr>
        <w:tc>
          <w:tcPr>
            <w:tcW w:w="17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9</w:t>
            </w:r>
          </w:p>
        </w:tc>
        <w:tc>
          <w:tcPr>
            <w:tcW w:w="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龙泉10分钟健身圈场地设施</w:t>
            </w: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新建</w:t>
            </w:r>
          </w:p>
        </w:tc>
        <w:tc>
          <w:tcPr>
            <w:tcW w:w="15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10" w:firstLineChars="100"/>
              <w:textAlignment w:val="center"/>
              <w:rPr>
                <w:rFonts w:ascii="Times New Roman" w:hAnsi="Times New Roman" w:eastAsia="仿宋_GB2312"/>
                <w:color w:val="000000"/>
                <w:szCs w:val="21"/>
              </w:rPr>
            </w:pPr>
            <w:r>
              <w:rPr>
                <w:rFonts w:ascii="Times New Roman" w:hAnsi="Times New Roman" w:eastAsia="仿宋_GB2312"/>
                <w:color w:val="000000"/>
                <w:szCs w:val="21"/>
              </w:rPr>
              <w:t>根据龙泉体育发展“十四五”规划，依据“10分钟健身圈”建设要求，总体谋划，合理布局，不断完善相关锻炼健身场地与设施，</w:t>
            </w:r>
            <w:r>
              <w:rPr>
                <w:rFonts w:hint="eastAsia" w:ascii="Times New Roman" w:hAnsi="Times New Roman" w:eastAsia="仿宋_GB2312"/>
                <w:color w:val="000000"/>
                <w:szCs w:val="21"/>
              </w:rPr>
              <w:t>提升校园健身场地开放率，不断</w:t>
            </w:r>
            <w:r>
              <w:rPr>
                <w:rFonts w:ascii="Times New Roman" w:hAnsi="Times New Roman" w:eastAsia="仿宋_GB2312"/>
                <w:color w:val="000000"/>
                <w:szCs w:val="21"/>
              </w:rPr>
              <w:t>满足龙泉市民日益增长的健身需求。</w:t>
            </w:r>
          </w:p>
        </w:tc>
        <w:tc>
          <w:tcPr>
            <w:tcW w:w="65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龙泉市域范围</w:t>
            </w:r>
          </w:p>
        </w:tc>
        <w:tc>
          <w:tcPr>
            <w:tcW w:w="2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1</w:t>
            </w:r>
          </w:p>
        </w:tc>
        <w:tc>
          <w:tcPr>
            <w:tcW w:w="3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1</w:t>
            </w:r>
          </w:p>
        </w:tc>
        <w:tc>
          <w:tcPr>
            <w:tcW w:w="37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w:t>
            </w:r>
          </w:p>
        </w:tc>
        <w:tc>
          <w:tcPr>
            <w:tcW w:w="6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市文化和广电旅游体育局</w:t>
            </w:r>
          </w:p>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相关乡镇（街道）</w:t>
            </w:r>
          </w:p>
        </w:tc>
      </w:tr>
    </w:tbl>
    <w:p>
      <w:pPr>
        <w:tabs>
          <w:tab w:val="left" w:pos="6095"/>
        </w:tabs>
        <w:jc w:val="left"/>
        <w:rPr>
          <w:rFonts w:ascii="Times New Roman" w:hAnsi="Times New Roman"/>
        </w:rPr>
      </w:pPr>
    </w:p>
    <w:p>
      <w:pPr>
        <w:pStyle w:val="2"/>
      </w:pPr>
    </w:p>
    <w:p>
      <w:pPr>
        <w:tabs>
          <w:tab w:val="left" w:pos="6095"/>
        </w:tabs>
        <w:jc w:val="left"/>
        <w:rPr>
          <w:rFonts w:ascii="Times New Roman" w:hAnsi="Times New Roman"/>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580" w:lineRule="exact"/>
        <w:rPr>
          <w:rFonts w:ascii="Times New Roman" w:hAnsi="Times New Roman" w:eastAsia="黑体"/>
          <w:bCs/>
          <w:sz w:val="32"/>
          <w:szCs w:val="32"/>
        </w:rPr>
      </w:pPr>
      <w:r>
        <w:rPr>
          <w:rFonts w:ascii="Times New Roman" w:hAnsi="Times New Roman" w:eastAsia="黑体"/>
          <w:bCs/>
          <w:sz w:val="32"/>
          <w:szCs w:val="32"/>
        </w:rPr>
        <w:t>附表3</w:t>
      </w:r>
    </w:p>
    <w:p>
      <w:pPr>
        <w:spacing w:line="580" w:lineRule="exact"/>
        <w:jc w:val="center"/>
        <w:rPr>
          <w:rFonts w:ascii="Times New Roman" w:hAnsi="Times New Roman"/>
          <w:color w:val="FF0000"/>
        </w:rPr>
      </w:pPr>
      <w:r>
        <w:rPr>
          <w:rFonts w:ascii="Times New Roman" w:hAnsi="Times New Roman"/>
          <w:color w:val="000000"/>
          <w:sz w:val="44"/>
          <w:szCs w:val="44"/>
        </w:rPr>
        <w:t>龙泉市体育事业“十四五”期间品牌赛事培育清单</w:t>
      </w:r>
    </w:p>
    <w:tbl>
      <w:tblPr>
        <w:tblStyle w:val="10"/>
        <w:tblW w:w="5038" w:type="pct"/>
        <w:jc w:val="center"/>
        <w:tblLayout w:type="autofit"/>
        <w:tblCellMar>
          <w:top w:w="0" w:type="dxa"/>
          <w:left w:w="0" w:type="dxa"/>
          <w:bottom w:w="0" w:type="dxa"/>
          <w:right w:w="0" w:type="dxa"/>
        </w:tblCellMar>
      </w:tblPr>
      <w:tblGrid>
        <w:gridCol w:w="601"/>
        <w:gridCol w:w="1681"/>
        <w:gridCol w:w="5376"/>
        <w:gridCol w:w="2274"/>
        <w:gridCol w:w="1161"/>
        <w:gridCol w:w="2818"/>
      </w:tblGrid>
      <w:tr>
        <w:tblPrEx>
          <w:tblCellMar>
            <w:top w:w="0" w:type="dxa"/>
            <w:left w:w="0" w:type="dxa"/>
            <w:bottom w:w="0" w:type="dxa"/>
            <w:right w:w="0" w:type="dxa"/>
          </w:tblCellMar>
        </w:tblPrEx>
        <w:trPr>
          <w:trHeight w:val="1070" w:hRule="atLeast"/>
          <w:tblHeader/>
          <w:jc w:val="center"/>
        </w:trPr>
        <w:tc>
          <w:tcPr>
            <w:tcW w:w="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黑体"/>
                <w:bCs/>
                <w:color w:val="000000"/>
                <w:sz w:val="24"/>
                <w:szCs w:val="24"/>
              </w:rPr>
            </w:pPr>
            <w:r>
              <w:rPr>
                <w:rFonts w:ascii="Times New Roman" w:hAnsi="Times New Roman" w:eastAsia="黑体"/>
                <w:bCs/>
                <w:color w:val="000000"/>
                <w:kern w:val="0"/>
                <w:sz w:val="24"/>
                <w:szCs w:val="24"/>
              </w:rPr>
              <w:t>序号</w:t>
            </w:r>
          </w:p>
        </w:tc>
        <w:tc>
          <w:tcPr>
            <w:tcW w:w="6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黑体"/>
                <w:bCs/>
                <w:color w:val="000000"/>
                <w:sz w:val="24"/>
                <w:szCs w:val="24"/>
              </w:rPr>
            </w:pPr>
            <w:r>
              <w:rPr>
                <w:rFonts w:ascii="Times New Roman" w:hAnsi="Times New Roman" w:eastAsia="黑体"/>
                <w:bCs/>
                <w:color w:val="000000"/>
                <w:kern w:val="0"/>
                <w:sz w:val="24"/>
                <w:szCs w:val="24"/>
              </w:rPr>
              <w:t>赛事名称</w:t>
            </w:r>
          </w:p>
        </w:tc>
        <w:tc>
          <w:tcPr>
            <w:tcW w:w="19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黑体"/>
                <w:bCs/>
                <w:color w:val="000000"/>
                <w:sz w:val="24"/>
                <w:szCs w:val="24"/>
              </w:rPr>
            </w:pPr>
            <w:r>
              <w:rPr>
                <w:rFonts w:ascii="Times New Roman" w:hAnsi="Times New Roman" w:eastAsia="黑体"/>
                <w:bCs/>
                <w:color w:val="000000"/>
                <w:kern w:val="0"/>
                <w:sz w:val="24"/>
                <w:szCs w:val="24"/>
              </w:rPr>
              <w:t>主要内容</w:t>
            </w:r>
          </w:p>
        </w:tc>
        <w:tc>
          <w:tcPr>
            <w:tcW w:w="8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黑体"/>
                <w:bCs/>
                <w:color w:val="000000"/>
                <w:sz w:val="24"/>
                <w:szCs w:val="24"/>
              </w:rPr>
            </w:pPr>
            <w:r>
              <w:rPr>
                <w:rFonts w:ascii="Times New Roman" w:hAnsi="Times New Roman" w:eastAsia="黑体"/>
                <w:bCs/>
                <w:color w:val="000000"/>
                <w:kern w:val="0"/>
                <w:sz w:val="24"/>
                <w:szCs w:val="24"/>
              </w:rPr>
              <w:t>举办时间</w:t>
            </w:r>
          </w:p>
        </w:tc>
        <w:tc>
          <w:tcPr>
            <w:tcW w:w="4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黑体"/>
                <w:bCs/>
                <w:color w:val="000000"/>
                <w:sz w:val="24"/>
                <w:szCs w:val="24"/>
              </w:rPr>
            </w:pPr>
            <w:r>
              <w:rPr>
                <w:rFonts w:ascii="Times New Roman" w:hAnsi="Times New Roman" w:eastAsia="黑体"/>
                <w:bCs/>
                <w:color w:val="000000"/>
                <w:sz w:val="24"/>
                <w:szCs w:val="24"/>
              </w:rPr>
              <w:t>举办地点</w:t>
            </w:r>
          </w:p>
        </w:tc>
        <w:tc>
          <w:tcPr>
            <w:tcW w:w="10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黑体"/>
                <w:bCs/>
                <w:color w:val="000000"/>
                <w:sz w:val="24"/>
                <w:szCs w:val="24"/>
              </w:rPr>
            </w:pPr>
            <w:r>
              <w:rPr>
                <w:rFonts w:ascii="Times New Roman" w:hAnsi="Times New Roman" w:eastAsia="黑体"/>
                <w:bCs/>
                <w:color w:val="000000"/>
                <w:kern w:val="0"/>
                <w:sz w:val="24"/>
                <w:szCs w:val="24"/>
              </w:rPr>
              <w:t>责任单位</w:t>
            </w:r>
          </w:p>
        </w:tc>
      </w:tr>
      <w:tr>
        <w:tblPrEx>
          <w:tblCellMar>
            <w:top w:w="0" w:type="dxa"/>
            <w:left w:w="0" w:type="dxa"/>
            <w:bottom w:w="0" w:type="dxa"/>
            <w:right w:w="0" w:type="dxa"/>
          </w:tblCellMar>
        </w:tblPrEx>
        <w:trPr>
          <w:trHeight w:val="1203" w:hRule="atLeast"/>
          <w:jc w:val="center"/>
        </w:trPr>
        <w:tc>
          <w:tcPr>
            <w:tcW w:w="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6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长三角“龙泉论剑”</w:t>
            </w:r>
            <w:r>
              <w:rPr>
                <w:rFonts w:hint="eastAsia" w:ascii="Times New Roman" w:hAnsi="Times New Roman" w:eastAsia="仿宋_GB2312"/>
                <w:color w:val="000000"/>
                <w:kern w:val="0"/>
                <w:szCs w:val="21"/>
                <w:lang w:eastAsia="zh-CN"/>
              </w:rPr>
              <w:t>传统</w:t>
            </w:r>
            <w:r>
              <w:rPr>
                <w:rFonts w:ascii="Times New Roman" w:hAnsi="Times New Roman" w:eastAsia="仿宋_GB2312"/>
                <w:color w:val="000000"/>
                <w:kern w:val="0"/>
                <w:szCs w:val="21"/>
              </w:rPr>
              <w:t>武术大赛</w:t>
            </w:r>
          </w:p>
        </w:tc>
        <w:tc>
          <w:tcPr>
            <w:tcW w:w="19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10" w:firstLineChars="100"/>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前赛事已成功举办两届，未来将争取赛事升格为“龙泉论剑”为主题的全国性刀剑武术大赛，通过“赛事搭台、各方唱戏”，不断拓展“龙泉论剑”品牌宽度，打响“青瓷宝剑、天下龙泉”知名度，推动龙泉宝剑与中华武术在互促互融中焕发出新时代的生机与活力。</w:t>
            </w:r>
          </w:p>
        </w:tc>
        <w:tc>
          <w:tcPr>
            <w:tcW w:w="8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每年11月份</w:t>
            </w:r>
          </w:p>
        </w:tc>
        <w:tc>
          <w:tcPr>
            <w:tcW w:w="4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
                <w:color w:val="000000"/>
                <w:kern w:val="0"/>
              </w:rPr>
            </w:pPr>
            <w:r>
              <w:rPr>
                <w:rFonts w:ascii="Times New Roman" w:hAnsi="Times New Roman" w:eastAsia="仿宋"/>
                <w:color w:val="000000"/>
                <w:kern w:val="0"/>
              </w:rPr>
              <w:t>城区</w:t>
            </w:r>
          </w:p>
        </w:tc>
        <w:tc>
          <w:tcPr>
            <w:tcW w:w="10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市文化和广电旅游体育局</w:t>
            </w:r>
          </w:p>
        </w:tc>
      </w:tr>
      <w:tr>
        <w:tblPrEx>
          <w:tblCellMar>
            <w:top w:w="0" w:type="dxa"/>
            <w:left w:w="0" w:type="dxa"/>
            <w:bottom w:w="0" w:type="dxa"/>
            <w:right w:w="0" w:type="dxa"/>
          </w:tblCellMar>
        </w:tblPrEx>
        <w:trPr>
          <w:trHeight w:val="1203" w:hRule="atLeast"/>
          <w:jc w:val="center"/>
        </w:trPr>
        <w:tc>
          <w:tcPr>
            <w:tcW w:w="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6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端午龙舟文化旅游活动</w:t>
            </w:r>
          </w:p>
        </w:tc>
        <w:tc>
          <w:tcPr>
            <w:tcW w:w="19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10" w:firstLineChars="100"/>
              <w:textAlignment w:val="center"/>
              <w:rPr>
                <w:rFonts w:ascii="Times New Roman" w:hAnsi="Times New Roman" w:eastAsia="仿宋_GB2312"/>
                <w:color w:val="000000"/>
                <w:szCs w:val="21"/>
              </w:rPr>
            </w:pPr>
            <w:r>
              <w:rPr>
                <w:rFonts w:ascii="Times New Roman" w:hAnsi="Times New Roman" w:eastAsia="仿宋_GB2312"/>
                <w:color w:val="000000"/>
                <w:szCs w:val="21"/>
              </w:rPr>
              <w:t>端午龙舟赛是龙泉百姓万人瞩目的大型群众性文体活动，近年来通过不断创新活动形式，赛事影响力逐年扩大，未来将不断推动端午传统龙舟赛事与体育竞技比赛相结合，力争将端午龙舟民俗活动打造成为龙泉又一体育赛事精品。</w:t>
            </w:r>
          </w:p>
        </w:tc>
        <w:tc>
          <w:tcPr>
            <w:tcW w:w="8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每年端午节期间</w:t>
            </w:r>
          </w:p>
        </w:tc>
        <w:tc>
          <w:tcPr>
            <w:tcW w:w="4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
                <w:color w:val="000000"/>
                <w:kern w:val="0"/>
              </w:rPr>
              <w:t>城区</w:t>
            </w:r>
          </w:p>
        </w:tc>
        <w:tc>
          <w:tcPr>
            <w:tcW w:w="10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市文化和广电旅游体育局</w:t>
            </w:r>
          </w:p>
        </w:tc>
      </w:tr>
      <w:tr>
        <w:tblPrEx>
          <w:tblCellMar>
            <w:top w:w="0" w:type="dxa"/>
            <w:left w:w="0" w:type="dxa"/>
            <w:bottom w:w="0" w:type="dxa"/>
            <w:right w:w="0" w:type="dxa"/>
          </w:tblCellMar>
        </w:tblPrEx>
        <w:trPr>
          <w:trHeight w:val="1118" w:hRule="atLeast"/>
          <w:jc w:val="center"/>
        </w:trPr>
        <w:tc>
          <w:tcPr>
            <w:tcW w:w="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6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江南之巅</w:t>
            </w:r>
            <w:r>
              <w:rPr>
                <w:rFonts w:hint="eastAsia" w:ascii="Times New Roman" w:hAnsi="Times New Roman" w:eastAsia="仿宋_GB2312"/>
                <w:color w:val="000000"/>
                <w:kern w:val="0"/>
                <w:szCs w:val="21"/>
              </w:rPr>
              <w:t>”系列品牌赛事</w:t>
            </w:r>
          </w:p>
        </w:tc>
        <w:tc>
          <w:tcPr>
            <w:tcW w:w="19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10" w:firstLineChars="100"/>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目前</w:t>
            </w:r>
            <w:r>
              <w:rPr>
                <w:rFonts w:hint="eastAsia" w:ascii="Times New Roman" w:hAnsi="Times New Roman" w:eastAsia="仿宋_GB2312"/>
                <w:color w:val="000000"/>
                <w:kern w:val="0"/>
                <w:szCs w:val="21"/>
              </w:rPr>
              <w:t>江南之巅·天空越野赛</w:t>
            </w:r>
            <w:r>
              <w:rPr>
                <w:rFonts w:ascii="Times New Roman" w:hAnsi="Times New Roman" w:eastAsia="仿宋_GB2312"/>
                <w:color w:val="000000"/>
                <w:kern w:val="0"/>
                <w:szCs w:val="21"/>
              </w:rPr>
              <w:t>已成功举办四届，“江南之巅”系列品牌赛事日渐成熟，赛事带动影响力日益明显，未来将通过赛事带动努力龙泉打造成为长三角和海西区重要的极限越野运动旅游目的地。</w:t>
            </w:r>
          </w:p>
        </w:tc>
        <w:tc>
          <w:tcPr>
            <w:tcW w:w="8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每年10月份</w:t>
            </w:r>
          </w:p>
        </w:tc>
        <w:tc>
          <w:tcPr>
            <w:tcW w:w="4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兰巨乡、屏南镇</w:t>
            </w:r>
          </w:p>
        </w:tc>
        <w:tc>
          <w:tcPr>
            <w:tcW w:w="10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市文化和广电旅游体育局</w:t>
            </w:r>
          </w:p>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屏南镇政府</w:t>
            </w:r>
          </w:p>
          <w:p>
            <w:pPr>
              <w:jc w:val="center"/>
              <w:textAlignment w:val="center"/>
              <w:rPr>
                <w:rFonts w:ascii="Times New Roman" w:hAnsi="Times New Roman"/>
                <w:color w:val="000000"/>
              </w:rPr>
            </w:pPr>
            <w:r>
              <w:rPr>
                <w:rFonts w:ascii="Times New Roman" w:hAnsi="Times New Roman" w:eastAsia="仿宋_GB2312"/>
                <w:color w:val="000000"/>
                <w:kern w:val="0"/>
                <w:szCs w:val="21"/>
              </w:rPr>
              <w:t>兰巨乡政府</w:t>
            </w:r>
          </w:p>
        </w:tc>
      </w:tr>
      <w:tr>
        <w:tblPrEx>
          <w:tblCellMar>
            <w:top w:w="0" w:type="dxa"/>
            <w:left w:w="0" w:type="dxa"/>
            <w:bottom w:w="0" w:type="dxa"/>
            <w:right w:w="0" w:type="dxa"/>
          </w:tblCellMar>
        </w:tblPrEx>
        <w:trPr>
          <w:trHeight w:val="1441" w:hRule="atLeast"/>
          <w:jc w:val="center"/>
        </w:trPr>
        <w:tc>
          <w:tcPr>
            <w:tcW w:w="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6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“环浙骑游”总决赛</w:t>
            </w:r>
          </w:p>
        </w:tc>
        <w:tc>
          <w:tcPr>
            <w:tcW w:w="19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10" w:firstLineChars="100"/>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目前赛事已成功举办五届，通过持续引进举办环浙骑游赛事，深入推动“交通+体育”“体育+旅游”的融合发展，进而</w:t>
            </w:r>
            <w:r>
              <w:rPr>
                <w:rFonts w:ascii="Times New Roman" w:hAnsi="Times New Roman" w:eastAsia="仿宋_GB2312"/>
                <w:color w:val="000000"/>
                <w:szCs w:val="21"/>
              </w:rPr>
              <w:t>辐射沿线乡村旅游发展，助力乡村振兴。</w:t>
            </w:r>
          </w:p>
        </w:tc>
        <w:tc>
          <w:tcPr>
            <w:tcW w:w="8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每年12月份</w:t>
            </w:r>
          </w:p>
        </w:tc>
        <w:tc>
          <w:tcPr>
            <w:tcW w:w="4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市域范围内</w:t>
            </w:r>
          </w:p>
        </w:tc>
        <w:tc>
          <w:tcPr>
            <w:tcW w:w="10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市</w:t>
            </w:r>
            <w:r>
              <w:rPr>
                <w:rFonts w:ascii="Times New Roman" w:hAnsi="Times New Roman" w:eastAsia="仿宋_GB2312"/>
                <w:color w:val="000000"/>
                <w:szCs w:val="21"/>
              </w:rPr>
              <w:t>交通运输局</w:t>
            </w:r>
          </w:p>
        </w:tc>
      </w:tr>
      <w:tr>
        <w:tblPrEx>
          <w:tblCellMar>
            <w:top w:w="0" w:type="dxa"/>
            <w:left w:w="0" w:type="dxa"/>
            <w:bottom w:w="0" w:type="dxa"/>
            <w:right w:w="0" w:type="dxa"/>
          </w:tblCellMar>
        </w:tblPrEx>
        <w:trPr>
          <w:trHeight w:val="1413" w:hRule="atLeast"/>
          <w:jc w:val="center"/>
        </w:trPr>
        <w:tc>
          <w:tcPr>
            <w:tcW w:w="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5</w:t>
            </w:r>
          </w:p>
        </w:tc>
        <w:tc>
          <w:tcPr>
            <w:tcW w:w="6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岩樟桃源毅行</w:t>
            </w:r>
          </w:p>
        </w:tc>
        <w:tc>
          <w:tcPr>
            <w:tcW w:w="19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10" w:firstLineChars="100"/>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前活动已成功举办四届，借力媒体优势进一步打响了“又见桃花源”旅游品牌，提升了岩樟的知名度。未来将通过岩樟毅行活动的持续举办，不断丰富全民健身内涵，持续带动当地农特产业发展，实现农民增收。持续完善毅行驿站建设。</w:t>
            </w:r>
          </w:p>
        </w:tc>
        <w:tc>
          <w:tcPr>
            <w:tcW w:w="8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每年3月份</w:t>
            </w:r>
          </w:p>
        </w:tc>
        <w:tc>
          <w:tcPr>
            <w:tcW w:w="4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岩樟乡</w:t>
            </w:r>
          </w:p>
        </w:tc>
        <w:tc>
          <w:tcPr>
            <w:tcW w:w="10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岩樟乡政府</w:t>
            </w:r>
          </w:p>
        </w:tc>
      </w:tr>
      <w:tr>
        <w:tblPrEx>
          <w:tblCellMar>
            <w:top w:w="0" w:type="dxa"/>
            <w:left w:w="0" w:type="dxa"/>
            <w:bottom w:w="0" w:type="dxa"/>
            <w:right w:w="0" w:type="dxa"/>
          </w:tblCellMar>
        </w:tblPrEx>
        <w:trPr>
          <w:trHeight w:val="1413" w:hRule="atLeast"/>
          <w:jc w:val="center"/>
        </w:trPr>
        <w:tc>
          <w:tcPr>
            <w:tcW w:w="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6</w:t>
            </w:r>
          </w:p>
        </w:tc>
        <w:tc>
          <w:tcPr>
            <w:tcW w:w="6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全民篮球联赛</w:t>
            </w:r>
          </w:p>
        </w:tc>
        <w:tc>
          <w:tcPr>
            <w:tcW w:w="19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10" w:firstLineChars="100"/>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通过持续策划举办全民篮球联赛，不断激发群众参与全民健身热情，推动群众体育蓬勃发展。</w:t>
            </w:r>
          </w:p>
        </w:tc>
        <w:tc>
          <w:tcPr>
            <w:tcW w:w="8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每年11月份</w:t>
            </w:r>
          </w:p>
        </w:tc>
        <w:tc>
          <w:tcPr>
            <w:tcW w:w="4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城区</w:t>
            </w:r>
          </w:p>
        </w:tc>
        <w:tc>
          <w:tcPr>
            <w:tcW w:w="10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市文化和广电旅游体育局</w:t>
            </w:r>
          </w:p>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市体育总会</w:t>
            </w:r>
          </w:p>
        </w:tc>
      </w:tr>
      <w:tr>
        <w:tblPrEx>
          <w:tblCellMar>
            <w:top w:w="0" w:type="dxa"/>
            <w:left w:w="0" w:type="dxa"/>
            <w:bottom w:w="0" w:type="dxa"/>
            <w:right w:w="0" w:type="dxa"/>
          </w:tblCellMar>
        </w:tblPrEx>
        <w:trPr>
          <w:trHeight w:val="1413" w:hRule="atLeast"/>
          <w:jc w:val="center"/>
        </w:trPr>
        <w:tc>
          <w:tcPr>
            <w:tcW w:w="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7</w:t>
            </w:r>
          </w:p>
        </w:tc>
        <w:tc>
          <w:tcPr>
            <w:tcW w:w="6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天下龙泉·奔跑绿谷登山活动</w:t>
            </w:r>
          </w:p>
        </w:tc>
        <w:tc>
          <w:tcPr>
            <w:tcW w:w="19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10" w:firstLineChars="100"/>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通过持续策划举办“奔跑绿谷”系列登山活动，做响群众体育赛事品牌，推进我市体育社团市场化发展。</w:t>
            </w:r>
          </w:p>
        </w:tc>
        <w:tc>
          <w:tcPr>
            <w:tcW w:w="8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每年8-10月份</w:t>
            </w:r>
          </w:p>
        </w:tc>
        <w:tc>
          <w:tcPr>
            <w:tcW w:w="4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szCs w:val="21"/>
              </w:rPr>
              <w:t>市域范围内</w:t>
            </w:r>
          </w:p>
        </w:tc>
        <w:tc>
          <w:tcPr>
            <w:tcW w:w="10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市体育总会</w:t>
            </w:r>
          </w:p>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市户外登山协会</w:t>
            </w:r>
          </w:p>
        </w:tc>
      </w:tr>
      <w:tr>
        <w:tblPrEx>
          <w:tblCellMar>
            <w:top w:w="0" w:type="dxa"/>
            <w:left w:w="0" w:type="dxa"/>
            <w:bottom w:w="0" w:type="dxa"/>
            <w:right w:w="0" w:type="dxa"/>
          </w:tblCellMar>
        </w:tblPrEx>
        <w:trPr>
          <w:trHeight w:val="1413" w:hRule="atLeast"/>
          <w:jc w:val="center"/>
        </w:trPr>
        <w:tc>
          <w:tcPr>
            <w:tcW w:w="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8</w:t>
            </w:r>
          </w:p>
        </w:tc>
        <w:tc>
          <w:tcPr>
            <w:tcW w:w="6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亲子越野跑</w:t>
            </w:r>
          </w:p>
        </w:tc>
        <w:tc>
          <w:tcPr>
            <w:tcW w:w="19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210" w:firstLineChars="100"/>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通过持续策划举办亲子越野跑活动，不断激发群众参与全民健身热情，推动群众体育蓬勃发展。</w:t>
            </w:r>
          </w:p>
        </w:tc>
        <w:tc>
          <w:tcPr>
            <w:tcW w:w="8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每年8月份</w:t>
            </w:r>
          </w:p>
        </w:tc>
        <w:tc>
          <w:tcPr>
            <w:tcW w:w="4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szCs w:val="21"/>
              </w:rPr>
              <w:t>市域范围内</w:t>
            </w:r>
          </w:p>
        </w:tc>
        <w:tc>
          <w:tcPr>
            <w:tcW w:w="10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市体育总会</w:t>
            </w:r>
          </w:p>
          <w:p>
            <w:pPr>
              <w:jc w:val="center"/>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市长跑体育运动协会</w:t>
            </w:r>
          </w:p>
        </w:tc>
      </w:tr>
    </w:tbl>
    <w:p>
      <w:pPr>
        <w:pStyle w:val="2"/>
      </w:pPr>
    </w:p>
    <w:sectPr>
      <w:footerReference r:id="rId7" w:type="default"/>
      <w:footerReference r:id="rId8" w:type="even"/>
      <w:pgSz w:w="16838" w:h="11906" w:orient="landscape"/>
      <w:pgMar w:top="1417" w:right="1531" w:bottom="1701" w:left="1531" w:header="0"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271270" cy="660400"/>
              <wp:effectExtent l="0" t="0" r="0" b="0"/>
              <wp:wrapNone/>
              <wp:docPr id="1" name="4098"/>
              <wp:cNvGraphicFramePr/>
              <a:graphic xmlns:a="http://schemas.openxmlformats.org/drawingml/2006/main">
                <a:graphicData uri="http://schemas.microsoft.com/office/word/2010/wordprocessingShape">
                  <wps:wsp>
                    <wps:cNvSpPr txBox="1"/>
                    <wps:spPr>
                      <a:xfrm>
                        <a:off x="0" y="0"/>
                        <a:ext cx="1271270" cy="660400"/>
                      </a:xfrm>
                      <a:prstGeom prst="rect">
                        <a:avLst/>
                      </a:prstGeom>
                      <a:noFill/>
                      <a:ln w="6350">
                        <a:noFill/>
                      </a:ln>
                    </wps:spPr>
                    <wps:txbx>
                      <w:txbxContent>
                        <w:p>
                          <w:pPr>
                            <w:pStyle w:val="6"/>
                            <w:ind w:left="210" w:leftChars="10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- 25 -</w:t>
                          </w:r>
                          <w:r>
                            <w:rPr>
                              <w:rFonts w:hint="eastAsia" w:ascii="宋体" w:hAnsi="宋体" w:cs="宋体"/>
                              <w:sz w:val="28"/>
                              <w:szCs w:val="28"/>
                            </w:rPr>
                            <w:fldChar w:fldCharType="end"/>
                          </w:r>
                        </w:p>
                      </w:txbxContent>
                    </wps:txbx>
                    <wps:bodyPr lIns="0" tIns="0" rIns="0" bIns="0" upright="1"/>
                  </wps:wsp>
                </a:graphicData>
              </a:graphic>
            </wp:anchor>
          </w:drawing>
        </mc:Choice>
        <mc:Fallback>
          <w:pict>
            <v:shape id="4098" o:spid="_x0000_s1026" o:spt="202" type="#_x0000_t202" style="position:absolute;left:0pt;margin-top:0pt;height:52pt;width:100.1pt;mso-position-horizontal:outside;mso-position-horizontal-relative:margin;z-index:251659264;mso-width-relative:page;mso-height-relative:page;" filled="f" stroked="f" coordsize="21600,21600" o:gfxdata="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h3lPk0gAAAAUB&#10;AAAPAAAAAAAAAAEAIAAAACIAAABkcnMvZG93bnJldi54bWxQSwECFAAUAAAACACHTuJARcJT5q8B&#10;AAB0AwAADgAAAAAAAAABACAAAAAhAQAAZHJzL2Uyb0RvYy54bWxQSwUGAAAAAAYABgBZAQAAQgUA&#10;AAAA&#10;">
              <v:fill on="f" focussize="0,0"/>
              <v:stroke on="f" weight="0.5pt"/>
              <v:imagedata o:title=""/>
              <o:lock v:ext="edit" aspectratio="f"/>
              <v:textbox inset="0mm,0mm,0mm,0mm">
                <w:txbxContent>
                  <w:p>
                    <w:pPr>
                      <w:pStyle w:val="6"/>
                      <w:ind w:left="210" w:leftChars="10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- 25 -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r>
                            <w:fldChar w:fldCharType="begin"/>
                          </w:r>
                          <w:r>
                            <w:instrText xml:space="preserve"> PAGE  \* MERGEFORMAT </w:instrText>
                          </w:r>
                          <w:r>
                            <w:fldChar w:fldCharType="separate"/>
                          </w:r>
                          <w:r>
                            <w:t>- 3 -</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mexe15wEAAMcD&#10;AAAOAAAAAAAAAAEAIAAAAB4BAABkcnMvZTJvRG9jLnhtbFBLBQYAAAAABgAGAFkBAAB3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r>
                            <w:fldChar w:fldCharType="begin"/>
                          </w:r>
                          <w:r>
                            <w:instrText xml:space="preserve"> PAGE  \* MERGEFORMAT </w:instrText>
                          </w:r>
                          <w:r>
                            <w:fldChar w:fldCharType="separate"/>
                          </w:r>
                          <w:r>
                            <w:t>- 1 -</w:t>
                          </w:r>
                          <w: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qXm5zwAAAAUBAAAP&#10;AAAAAAAAAAEAIAAAACIAAABkcnMvZG93bnJldi54bWxQSwECFAAUAAAACACHTuJAEBQmNOgBAADH&#10;AwAADgAAAAAAAAABACAAAAAeAQAAZHJzL2Uyb0RvYy54bWxQSwUGAAAAAAYABgBZAQAAeA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pPr>
                          <w:r>
                            <w:fldChar w:fldCharType="begin"/>
                          </w:r>
                          <w:r>
                            <w:instrText xml:space="preserve"> PAGE  \* MERGEFORMAT </w:instrText>
                          </w:r>
                          <w:r>
                            <w:fldChar w:fldCharType="separate"/>
                          </w:r>
                          <w:r>
                            <w:t>- 23 -</w:t>
                          </w:r>
                          <w:r>
                            <w:fldChar w:fldCharType="end"/>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GZ9ofnmAQAAxwMA&#10;AA4AAAAAAAAAAQAgAAAAHgEAAGRycy9lMm9Eb2MueG1sUEsFBgAAAAAGAAYAWQEAAHY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- 23 -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271270" cy="660400"/>
              <wp:effectExtent l="0" t="0" r="0" b="0"/>
              <wp:wrapNone/>
              <wp:docPr id="2" name="4101"/>
              <wp:cNvGraphicFramePr/>
              <a:graphic xmlns:a="http://schemas.openxmlformats.org/drawingml/2006/main">
                <a:graphicData uri="http://schemas.microsoft.com/office/word/2010/wordprocessingShape">
                  <wps:wsp>
                    <wps:cNvSpPr txBox="1"/>
                    <wps:spPr>
                      <a:xfrm>
                        <a:off x="0" y="0"/>
                        <a:ext cx="1271270" cy="660400"/>
                      </a:xfrm>
                      <a:prstGeom prst="rect">
                        <a:avLst/>
                      </a:prstGeom>
                      <a:noFill/>
                      <a:ln w="6350">
                        <a:noFill/>
                      </a:ln>
                    </wps:spPr>
                    <wps:txbx>
                      <w:txbxContent>
                        <w:p>
                          <w:pPr>
                            <w:pStyle w:val="6"/>
                            <w:ind w:left="210" w:leftChars="10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- 30 -</w:t>
                          </w:r>
                          <w:r>
                            <w:rPr>
                              <w:rFonts w:hint="eastAsia" w:ascii="宋体" w:hAnsi="宋体" w:cs="宋体"/>
                              <w:sz w:val="28"/>
                              <w:szCs w:val="28"/>
                            </w:rPr>
                            <w:fldChar w:fldCharType="end"/>
                          </w:r>
                        </w:p>
                      </w:txbxContent>
                    </wps:txbx>
                    <wps:bodyPr lIns="0" tIns="0" rIns="0" bIns="0" upright="1"/>
                  </wps:wsp>
                </a:graphicData>
              </a:graphic>
            </wp:anchor>
          </w:drawing>
        </mc:Choice>
        <mc:Fallback>
          <w:pict>
            <v:shape id="4101" o:spid="_x0000_s1026" o:spt="202" type="#_x0000_t202" style="position:absolute;left:0pt;margin-top:0pt;height:52pt;width:100.1pt;mso-position-horizontal:outside;mso-position-horizontal-relative:margin;z-index:251659264;mso-width-relative:page;mso-height-relative:page;" filled="f" stroked="f" coordsize="21600,21600" o:gfxdata="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HeU+TSAAAABQEA&#10;AA8AAAAAAAAAAQAgAAAAIgAAAGRycy9kb3ducmV2LnhtbFBLAQIUABQAAAAIAIdO4kC5GcunrgEA&#10;AHQDAAAOAAAAAAAAAAEAIAAAACEBAABkcnMvZTJvRG9jLnhtbFBLBQYAAAAABgAGAFkBAABBBQAA&#10;AAA=&#10;">
              <v:fill on="f" focussize="0,0"/>
              <v:stroke on="f" weight="0.5pt"/>
              <v:imagedata o:title=""/>
              <o:lock v:ext="edit" aspectratio="f"/>
              <v:textbox inset="0mm,0mm,0mm,0mm">
                <w:txbxContent>
                  <w:p>
                    <w:pPr>
                      <w:pStyle w:val="6"/>
                      <w:ind w:left="210" w:leftChars="10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- 30 -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2D3E1F"/>
    <w:rsid w:val="7AC838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7"/>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12">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customStyle="1" w:styleId="2">
    <w:name w:val="Normal Indent1"/>
    <w:qFormat/>
    <w:uiPriority w:val="99"/>
    <w:pPr>
      <w:widowControl w:val="0"/>
      <w:ind w:firstLine="420" w:firstLineChars="200"/>
      <w:jc w:val="both"/>
    </w:pPr>
    <w:rPr>
      <w:rFonts w:ascii="Times New Roman" w:hAnsi="Times New Roman" w:eastAsia="宋体" w:cs="Times New Roman"/>
      <w:kern w:val="2"/>
      <w:sz w:val="21"/>
      <w:szCs w:val="22"/>
      <w:lang w:val="en-US" w:eastAsia="zh-CN" w:bidi="ar-SA"/>
    </w:rPr>
  </w:style>
  <w:style w:type="paragraph" w:styleId="4">
    <w:name w:val="Body Text"/>
    <w:basedOn w:val="1"/>
    <w:qFormat/>
    <w:uiPriority w:val="1"/>
    <w:pPr>
      <w:autoSpaceDE w:val="0"/>
      <w:autoSpaceDN w:val="0"/>
      <w:ind w:left="131"/>
      <w:jc w:val="left"/>
    </w:pPr>
    <w:rPr>
      <w:rFonts w:ascii="宋体" w:hAnsi="宋体" w:cs="宋体"/>
      <w:kern w:val="0"/>
      <w:sz w:val="32"/>
      <w:szCs w:val="32"/>
      <w:lang w:eastAsia="en-US"/>
    </w:rPr>
  </w:style>
  <w:style w:type="paragraph" w:styleId="5">
    <w:name w:val="Balloon Text"/>
    <w:basedOn w:val="1"/>
    <w:link w:val="16"/>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jc w:val="left"/>
    </w:pPr>
    <w:rPr>
      <w:kern w:val="0"/>
      <w:sz w:val="24"/>
    </w:rPr>
  </w:style>
  <w:style w:type="paragraph" w:styleId="9">
    <w:name w:val="Body Text First Indent 2"/>
    <w:basedOn w:val="4"/>
    <w:qFormat/>
    <w:uiPriority w:val="99"/>
    <w:pPr>
      <w:ind w:firstLine="420" w:firstLineChars="200"/>
    </w:p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_Style 13"/>
    <w:basedOn w:val="1"/>
    <w:next w:val="1"/>
    <w:qFormat/>
    <w:uiPriority w:val="0"/>
    <w:pPr>
      <w:pBdr>
        <w:bottom w:val="single" w:color="auto" w:sz="6" w:space="1"/>
      </w:pBdr>
      <w:jc w:val="center"/>
    </w:pPr>
    <w:rPr>
      <w:rFonts w:ascii="Arial"/>
      <w:vanish/>
      <w:sz w:val="16"/>
    </w:rPr>
  </w:style>
  <w:style w:type="character" w:customStyle="1" w:styleId="14">
    <w:name w:val="font11"/>
    <w:basedOn w:val="12"/>
    <w:qFormat/>
    <w:uiPriority w:val="0"/>
    <w:rPr>
      <w:rFonts w:hint="eastAsia" w:ascii="仿宋" w:hAnsi="仿宋" w:eastAsia="仿宋" w:cs="仿宋"/>
      <w:color w:val="000000"/>
      <w:sz w:val="24"/>
      <w:szCs w:val="24"/>
      <w:u w:val="none"/>
    </w:rPr>
  </w:style>
  <w:style w:type="paragraph" w:customStyle="1" w:styleId="15">
    <w:name w:val="列表段落1"/>
    <w:basedOn w:val="1"/>
    <w:qFormat/>
    <w:uiPriority w:val="34"/>
    <w:pPr>
      <w:ind w:firstLine="420" w:firstLineChars="200"/>
    </w:pPr>
    <w:rPr>
      <w:rFonts w:ascii="Calibri" w:hAnsi="Calibri" w:eastAsia="宋体" w:cs="宋体"/>
      <w:sz w:val="24"/>
      <w:szCs w:val="24"/>
    </w:rPr>
  </w:style>
  <w:style w:type="character" w:customStyle="1" w:styleId="16">
    <w:name w:val="批注框文本 Char"/>
    <w:basedOn w:val="12"/>
    <w:link w:val="5"/>
    <w:qFormat/>
    <w:uiPriority w:val="0"/>
    <w:rPr>
      <w:rFonts w:ascii="Calibri" w:hAnsi="Calibri"/>
      <w:kern w:val="2"/>
      <w:sz w:val="18"/>
      <w:szCs w:val="18"/>
    </w:rPr>
  </w:style>
  <w:style w:type="character" w:customStyle="1" w:styleId="17">
    <w:name w:val="标题 1 Char"/>
    <w:basedOn w:val="12"/>
    <w:link w:val="3"/>
    <w:qFormat/>
    <w:uiPriority w:val="0"/>
    <w:rPr>
      <w:b/>
      <w:bCs/>
      <w:kern w:val="44"/>
      <w:sz w:val="44"/>
      <w:szCs w:val="44"/>
    </w:rPr>
  </w:style>
  <w:style w:type="character" w:customStyle="1" w:styleId="18">
    <w:name w:val="页脚 Char"/>
    <w:basedOn w:val="12"/>
    <w:link w:val="6"/>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E78D17-4820-42F1-8CD5-5C41D06AC17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14271</Words>
  <Characters>14569</Characters>
  <Paragraphs>357</Paragraphs>
  <TotalTime>1</TotalTime>
  <ScaleCrop>false</ScaleCrop>
  <LinksUpToDate>false</LinksUpToDate>
  <CharactersWithSpaces>14585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2021-04-25T02:35:00Z</dcterms:created>
  <dc:creator>lenovo</dc:creator>
  <cp:lastModifiedBy>Jack</cp:lastModifiedBy>
  <cp:lastPrinted>2021-08-16T11:10:00Z</cp:lastPrinted>
  <dcterms:modified xsi:type="dcterms:W3CDTF">2021-09-14T07:08:52Z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CDD9A3DAE32B4FEF806394DA17A96A4C</vt:lpwstr>
  </property>
</Properties>
</file>