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hint="eastAsia" w:ascii="黑体" w:eastAsia="黑体" w:cs="FZFS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大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500" w:lineRule="exact"/>
        <w:rPr>
          <w:rFonts w:hint="eastAsia" w:ascii="黑体" w:eastAsia="黑体"/>
          <w:sz w:val="28"/>
          <w:szCs w:val="28"/>
        </w:rPr>
      </w:pP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龙泉市查田镇人民政府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龙泉市查田镇查田街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82号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0578-12345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注：1.“派出机构”一栏，请具体列明派出机构名称。</w:t>
      </w:r>
    </w:p>
    <w:p>
      <w:pPr>
        <w:snapToGrid w:val="0"/>
        <w:spacing w:line="38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hint="eastAsia" w:ascii="仿宋_GB2312" w:eastAsia="仿宋_GB2312"/>
          <w:bCs/>
          <w:sz w:val="28"/>
          <w:szCs w:val="28"/>
        </w:rPr>
        <w:t>3.各地已统一举报投诉电话的，公告时填写统一的举报投诉电话。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313A4"/>
    <w:rsid w:val="170313A4"/>
    <w:rsid w:val="4F8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2020-12-03T03:18:00Z</dcterms:created>
  <dc:creator>Administrator</dc:creator>
  <cp:lastModifiedBy>Administrator</cp:lastModifiedBy>
  <dcterms:modified xsi:type="dcterms:W3CDTF">2022-02-18T03:48:53Z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