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580" w:lineRule="exact"/>
        <w:jc w:val="center"/>
        <w:textAlignment w:val="auto"/>
        <w:rPr>
          <w:rFonts w:hint="eastAsia" w:ascii="方正小标宋简体" w:hAnsi="方正小标宋简体" w:eastAsia="方正小标宋简体" w:cs="方正小标宋简体"/>
          <w:b w:val="0"/>
          <w:bCs w:val="0"/>
          <w:color w:val="auto"/>
          <w:sz w:val="36"/>
          <w:szCs w:val="36"/>
          <w:highlight w:val="none"/>
          <w:u w:val="none"/>
          <w:lang w:eastAsia="zh-CN"/>
        </w:rPr>
      </w:pPr>
      <w:r>
        <w:rPr>
          <w:rFonts w:hint="eastAsia" w:ascii="方正小标宋简体" w:hAnsi="方正小标宋简体" w:eastAsia="方正小标宋简体" w:cs="方正小标宋简体"/>
          <w:b w:val="0"/>
          <w:bCs w:val="0"/>
          <w:color w:val="auto"/>
          <w:sz w:val="44"/>
          <w:szCs w:val="44"/>
          <w:highlight w:val="none"/>
          <w:u w:val="none"/>
          <w:lang w:eastAsia="zh-CN"/>
        </w:rPr>
        <w:t>关于加强教育</w:t>
      </w:r>
      <w:r>
        <w:rPr>
          <w:rFonts w:hint="eastAsia" w:ascii="方正小标宋简体" w:hAnsi="方正小标宋简体" w:eastAsia="方正小标宋简体" w:cs="方正小标宋简体"/>
          <w:b w:val="0"/>
          <w:bCs w:val="0"/>
          <w:color w:val="auto"/>
          <w:sz w:val="44"/>
          <w:szCs w:val="44"/>
          <w:highlight w:val="none"/>
          <w:u w:val="none"/>
        </w:rPr>
        <w:t>人才</w:t>
      </w:r>
      <w:r>
        <w:rPr>
          <w:rFonts w:hint="eastAsia" w:ascii="方正小标宋简体" w:hAnsi="方正小标宋简体" w:eastAsia="方正小标宋简体" w:cs="方正小标宋简体"/>
          <w:b w:val="0"/>
          <w:bCs w:val="0"/>
          <w:color w:val="auto"/>
          <w:sz w:val="44"/>
          <w:szCs w:val="44"/>
          <w:highlight w:val="none"/>
          <w:u w:val="none"/>
          <w:lang w:eastAsia="zh-CN"/>
        </w:rPr>
        <w:t>引进培育振兴工作的十条政策</w:t>
      </w:r>
      <w:r>
        <w:rPr>
          <w:rFonts w:hint="eastAsia" w:ascii="方正小标宋简体" w:hAnsi="方正小标宋简体" w:eastAsia="方正小标宋简体" w:cs="方正小标宋简体"/>
          <w:b w:val="0"/>
          <w:bCs w:val="0"/>
          <w:color w:val="auto"/>
          <w:sz w:val="44"/>
          <w:szCs w:val="44"/>
          <w:highlight w:val="none"/>
          <w:u w:val="none"/>
        </w:rPr>
        <w:t>（试行）</w:t>
      </w:r>
      <w:r>
        <w:rPr>
          <w:rFonts w:hint="eastAsia" w:ascii="楷体" w:hAnsi="楷体" w:eastAsia="楷体" w:cs="楷体"/>
          <w:b w:val="0"/>
          <w:bCs w:val="0"/>
          <w:color w:val="auto"/>
          <w:sz w:val="36"/>
          <w:szCs w:val="36"/>
          <w:highlight w:val="none"/>
          <w:u w:val="none"/>
          <w:lang w:eastAsia="zh-CN"/>
        </w:rPr>
        <w:t>（征求意见稿）</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 w:hAnsi="楷体" w:eastAsia="楷体" w:cs="楷体"/>
          <w:b w:val="0"/>
          <w:bCs w:val="0"/>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 xml:space="preserve"> </w:t>
      </w:r>
      <w:r>
        <w:rPr>
          <w:rFonts w:hint="eastAsia" w:ascii="仿宋" w:hAnsi="仿宋" w:eastAsia="仿宋" w:cs="仿宋"/>
          <w:b w:val="0"/>
          <w:bCs w:val="0"/>
          <w:color w:val="auto"/>
          <w:sz w:val="32"/>
          <w:szCs w:val="32"/>
          <w:highlight w:val="none"/>
          <w:u w:val="none"/>
          <w:lang w:val="en-US" w:eastAsia="zh-CN"/>
        </w:rPr>
        <w:t xml:space="preserve">   </w:t>
      </w:r>
      <w:r>
        <w:rPr>
          <w:rFonts w:hint="eastAsia" w:ascii="仿宋" w:hAnsi="仿宋" w:eastAsia="仿宋" w:cs="仿宋"/>
          <w:b w:val="0"/>
          <w:bCs w:val="0"/>
          <w:color w:val="auto"/>
          <w:sz w:val="32"/>
          <w:szCs w:val="32"/>
          <w:highlight w:val="none"/>
          <w:u w:val="none"/>
        </w:rPr>
        <w:t>为全面深化新时代教师队伍建设改革，</w:t>
      </w:r>
      <w:r>
        <w:rPr>
          <w:rFonts w:hint="eastAsia" w:ascii="仿宋" w:hAnsi="仿宋" w:eastAsia="仿宋" w:cs="仿宋"/>
          <w:b w:val="0"/>
          <w:bCs w:val="0"/>
          <w:color w:val="auto"/>
          <w:sz w:val="32"/>
          <w:szCs w:val="32"/>
          <w:highlight w:val="none"/>
          <w:u w:val="none"/>
          <w:lang w:eastAsia="zh-CN"/>
        </w:rPr>
        <w:t>进一步加大我市教育“双招双引”、名优教师培育力度，建设一支高素质专业化创新型师资队伍</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为“全面复兴剑瓷之都，奋力打造品质龙泉”提供坚强的人才支撑，</w:t>
      </w:r>
      <w:r>
        <w:rPr>
          <w:rFonts w:hint="eastAsia" w:ascii="仿宋" w:hAnsi="仿宋" w:eastAsia="仿宋" w:cs="仿宋"/>
          <w:b w:val="0"/>
          <w:bCs w:val="0"/>
          <w:color w:val="auto"/>
          <w:sz w:val="32"/>
          <w:szCs w:val="32"/>
          <w:highlight w:val="none"/>
          <w:u w:val="none"/>
        </w:rPr>
        <w:t>特制定</w:t>
      </w:r>
      <w:r>
        <w:rPr>
          <w:rFonts w:hint="eastAsia" w:ascii="仿宋" w:hAnsi="仿宋" w:eastAsia="仿宋" w:cs="仿宋"/>
          <w:b w:val="0"/>
          <w:bCs w:val="0"/>
          <w:color w:val="auto"/>
          <w:sz w:val="32"/>
          <w:szCs w:val="32"/>
          <w:highlight w:val="none"/>
          <w:u w:val="none"/>
          <w:lang w:eastAsia="zh-CN"/>
        </w:rPr>
        <w:t>以下十条政策</w:t>
      </w:r>
      <w:r>
        <w:rPr>
          <w:rFonts w:hint="eastAsia" w:ascii="仿宋" w:hAnsi="仿宋" w:eastAsia="仿宋" w:cs="仿宋"/>
          <w:b w:val="0"/>
          <w:bCs w:val="0"/>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rPr>
        <w:t>第</w:t>
      </w:r>
      <w:r>
        <w:rPr>
          <w:rFonts w:hint="eastAsia" w:ascii="黑体" w:hAnsi="黑体" w:eastAsia="黑体" w:cs="黑体"/>
          <w:b w:val="0"/>
          <w:bCs w:val="0"/>
          <w:color w:val="auto"/>
          <w:sz w:val="32"/>
          <w:szCs w:val="32"/>
          <w:highlight w:val="none"/>
          <w:u w:val="none"/>
          <w:lang w:eastAsia="zh-CN"/>
        </w:rPr>
        <w:t>一</w:t>
      </w:r>
      <w:r>
        <w:rPr>
          <w:rFonts w:hint="eastAsia" w:ascii="黑体" w:hAnsi="黑体" w:eastAsia="黑体" w:cs="黑体"/>
          <w:b w:val="0"/>
          <w:bCs w:val="0"/>
          <w:color w:val="auto"/>
          <w:sz w:val="32"/>
          <w:szCs w:val="32"/>
          <w:highlight w:val="none"/>
          <w:u w:val="none"/>
        </w:rPr>
        <w:t xml:space="preserve">条 </w:t>
      </w:r>
      <w:r>
        <w:rPr>
          <w:rFonts w:hint="eastAsia" w:ascii="楷体" w:hAnsi="楷体" w:eastAsia="楷体" w:cs="楷体"/>
          <w:b w:val="0"/>
          <w:bCs w:val="0"/>
          <w:color w:val="auto"/>
          <w:sz w:val="32"/>
          <w:szCs w:val="32"/>
          <w:highlight w:val="none"/>
          <w:u w:val="none"/>
        </w:rPr>
        <w:t xml:space="preserve"> </w:t>
      </w:r>
      <w:r>
        <w:rPr>
          <w:rFonts w:hint="eastAsia" w:ascii="黑体" w:hAnsi="黑体" w:eastAsia="黑体" w:cs="黑体"/>
          <w:color w:val="auto"/>
          <w:sz w:val="32"/>
          <w:szCs w:val="32"/>
          <w:highlight w:val="none"/>
          <w:u w:val="none"/>
        </w:rPr>
        <w:t>加大人才引进专项</w:t>
      </w:r>
      <w:r>
        <w:rPr>
          <w:rFonts w:hint="eastAsia" w:ascii="黑体" w:hAnsi="黑体" w:eastAsia="黑体" w:cs="黑体"/>
          <w:color w:val="auto"/>
          <w:sz w:val="32"/>
          <w:szCs w:val="32"/>
          <w:highlight w:val="none"/>
          <w:u w:val="none"/>
          <w:lang w:eastAsia="zh-CN"/>
        </w:rPr>
        <w:t>奖励</w:t>
      </w:r>
      <w:r>
        <w:rPr>
          <w:rFonts w:hint="eastAsia" w:ascii="黑体" w:hAnsi="黑体" w:eastAsia="黑体" w:cs="黑体"/>
          <w:color w:val="auto"/>
          <w:sz w:val="32"/>
          <w:szCs w:val="32"/>
          <w:highlight w:val="none"/>
          <w:u w:val="none"/>
        </w:rPr>
        <w:t>力度。</w:t>
      </w:r>
      <w:r>
        <w:rPr>
          <w:rFonts w:hint="eastAsia" w:ascii="仿宋_GB2312" w:eastAsia="仿宋_GB2312"/>
          <w:color w:val="auto"/>
          <w:sz w:val="32"/>
          <w:szCs w:val="32"/>
          <w:highlight w:val="none"/>
          <w:u w:val="none"/>
          <w:lang w:eastAsia="zh-CN"/>
        </w:rPr>
        <w:t>将教育人才分为高端教育人才（即一、二、三类人才</w:t>
      </w:r>
      <w:r>
        <w:rPr>
          <w:rFonts w:hint="eastAsia" w:ascii="仿宋" w:hAnsi="仿宋" w:eastAsia="仿宋" w:cs="仿宋"/>
          <w:b w:val="0"/>
          <w:bCs w:val="0"/>
          <w:color w:val="auto"/>
          <w:sz w:val="32"/>
          <w:szCs w:val="32"/>
          <w:highlight w:val="none"/>
          <w:u w:val="none"/>
          <w:lang w:eastAsia="zh-CN"/>
        </w:rPr>
        <w:t>）和紧缺急需人才（即四、五类人才</w:t>
      </w: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b w:val="0"/>
          <w:bCs w:val="0"/>
          <w:color w:val="auto"/>
          <w:sz w:val="32"/>
          <w:szCs w:val="32"/>
          <w:highlight w:val="none"/>
          <w:u w:val="none"/>
          <w:lang w:eastAsia="zh-CN"/>
        </w:rPr>
        <w:t>，对签订</w:t>
      </w:r>
      <w:r>
        <w:rPr>
          <w:rFonts w:hint="eastAsia" w:ascii="仿宋" w:hAnsi="仿宋" w:eastAsia="仿宋" w:cs="仿宋"/>
          <w:b w:val="0"/>
          <w:bCs w:val="0"/>
          <w:color w:val="auto"/>
          <w:sz w:val="32"/>
          <w:szCs w:val="32"/>
          <w:highlight w:val="none"/>
          <w:u w:val="none"/>
          <w:lang w:val="en-US" w:eastAsia="zh-CN"/>
        </w:rPr>
        <w:t>5年及以上服务协议的给予专项奖励。</w:t>
      </w:r>
      <w:r>
        <w:rPr>
          <w:rFonts w:hint="eastAsia" w:ascii="仿宋" w:hAnsi="仿宋" w:eastAsia="仿宋" w:cs="仿宋"/>
          <w:b w:val="0"/>
          <w:bCs w:val="0"/>
          <w:color w:val="auto"/>
          <w:sz w:val="32"/>
          <w:szCs w:val="32"/>
          <w:highlight w:val="none"/>
          <w:u w:val="none"/>
        </w:rPr>
        <w:t>一类教育人才</w:t>
      </w:r>
      <w:r>
        <w:rPr>
          <w:rFonts w:hint="eastAsia" w:ascii="仿宋" w:hAnsi="仿宋" w:eastAsia="仿宋" w:cs="仿宋"/>
          <w:b w:val="0"/>
          <w:bCs w:val="0"/>
          <w:color w:val="auto"/>
          <w:sz w:val="32"/>
          <w:szCs w:val="32"/>
          <w:highlight w:val="none"/>
          <w:u w:val="none"/>
          <w:lang w:eastAsia="zh-CN"/>
        </w:rPr>
        <w:t>：第一小类给予专项奖励</w:t>
      </w:r>
      <w:r>
        <w:rPr>
          <w:rFonts w:hint="eastAsia" w:ascii="仿宋" w:hAnsi="仿宋" w:eastAsia="仿宋" w:cs="仿宋"/>
          <w:b w:val="0"/>
          <w:bCs w:val="0"/>
          <w:color w:val="auto"/>
          <w:sz w:val="32"/>
          <w:szCs w:val="32"/>
          <w:highlight w:val="none"/>
          <w:u w:val="none"/>
          <w:lang w:val="en-US" w:eastAsia="zh-CN"/>
        </w:rPr>
        <w:t>500万元、购房补贴100万元，第二、三小类</w:t>
      </w:r>
      <w:r>
        <w:rPr>
          <w:rFonts w:hint="eastAsia" w:ascii="仿宋" w:hAnsi="仿宋" w:eastAsia="仿宋" w:cs="仿宋"/>
          <w:b w:val="0"/>
          <w:bCs w:val="0"/>
          <w:color w:val="auto"/>
          <w:sz w:val="32"/>
          <w:szCs w:val="32"/>
          <w:highlight w:val="none"/>
          <w:u w:val="none"/>
          <w:lang w:eastAsia="zh-CN"/>
        </w:rPr>
        <w:t>奖励</w:t>
      </w:r>
      <w:r>
        <w:rPr>
          <w:rFonts w:hint="eastAsia" w:ascii="仿宋" w:hAnsi="仿宋" w:eastAsia="仿宋" w:cs="仿宋"/>
          <w:b w:val="0"/>
          <w:bCs w:val="0"/>
          <w:color w:val="auto"/>
          <w:sz w:val="32"/>
          <w:szCs w:val="32"/>
          <w:highlight w:val="none"/>
          <w:u w:val="none"/>
          <w:lang w:val="en-US" w:eastAsia="zh-CN"/>
        </w:rPr>
        <w:t>200万元、购房补贴80万元</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二类教育人才</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给予专项</w:t>
      </w:r>
      <w:r>
        <w:rPr>
          <w:rFonts w:hint="eastAsia" w:ascii="仿宋" w:hAnsi="仿宋" w:eastAsia="仿宋" w:cs="仿宋"/>
          <w:b w:val="0"/>
          <w:bCs w:val="0"/>
          <w:color w:val="auto"/>
          <w:sz w:val="32"/>
          <w:szCs w:val="32"/>
          <w:highlight w:val="none"/>
          <w:u w:val="none"/>
          <w:lang w:eastAsia="zh-CN"/>
        </w:rPr>
        <w:t>奖励</w:t>
      </w:r>
      <w:r>
        <w:rPr>
          <w:rFonts w:hint="eastAsia" w:ascii="仿宋" w:hAnsi="仿宋" w:eastAsia="仿宋" w:cs="仿宋"/>
          <w:b w:val="0"/>
          <w:bCs w:val="0"/>
          <w:color w:val="auto"/>
          <w:sz w:val="32"/>
          <w:szCs w:val="32"/>
          <w:highlight w:val="none"/>
          <w:u w:val="none"/>
        </w:rPr>
        <w:t>100万元</w:t>
      </w:r>
      <w:r>
        <w:rPr>
          <w:rFonts w:hint="eastAsia" w:ascii="仿宋" w:hAnsi="仿宋" w:eastAsia="仿宋" w:cs="仿宋"/>
          <w:b w:val="0"/>
          <w:bCs w:val="0"/>
          <w:color w:val="auto"/>
          <w:sz w:val="32"/>
          <w:szCs w:val="32"/>
          <w:highlight w:val="none"/>
          <w:u w:val="none"/>
          <w:lang w:eastAsia="zh-CN"/>
        </w:rPr>
        <w:t>、购房补贴</w:t>
      </w:r>
      <w:r>
        <w:rPr>
          <w:rFonts w:hint="eastAsia" w:ascii="仿宋" w:hAnsi="仿宋" w:eastAsia="仿宋" w:cs="仿宋"/>
          <w:b w:val="0"/>
          <w:bCs w:val="0"/>
          <w:color w:val="auto"/>
          <w:sz w:val="32"/>
          <w:szCs w:val="32"/>
          <w:highlight w:val="none"/>
          <w:u w:val="none"/>
          <w:lang w:val="en-US" w:eastAsia="zh-CN"/>
        </w:rPr>
        <w:t>50万元</w:t>
      </w:r>
      <w:r>
        <w:rPr>
          <w:rFonts w:hint="eastAsia" w:ascii="仿宋" w:hAnsi="仿宋" w:eastAsia="仿宋" w:cs="仿宋"/>
          <w:b w:val="0"/>
          <w:bCs w:val="0"/>
          <w:color w:val="auto"/>
          <w:sz w:val="32"/>
          <w:szCs w:val="32"/>
          <w:highlight w:val="none"/>
          <w:u w:val="none"/>
        </w:rPr>
        <w:t>；三类教育人才</w:t>
      </w:r>
      <w:r>
        <w:rPr>
          <w:rFonts w:hint="eastAsia" w:ascii="仿宋" w:hAnsi="仿宋" w:eastAsia="仿宋" w:cs="仿宋"/>
          <w:b w:val="0"/>
          <w:bCs w:val="0"/>
          <w:color w:val="auto"/>
          <w:sz w:val="32"/>
          <w:szCs w:val="32"/>
          <w:highlight w:val="none"/>
          <w:u w:val="none"/>
          <w:lang w:eastAsia="zh-CN"/>
        </w:rPr>
        <w:t>：给予专项奖励</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0万元</w:t>
      </w:r>
      <w:r>
        <w:rPr>
          <w:rFonts w:hint="eastAsia" w:ascii="仿宋" w:hAnsi="仿宋" w:eastAsia="仿宋" w:cs="仿宋"/>
          <w:b w:val="0"/>
          <w:bCs w:val="0"/>
          <w:color w:val="auto"/>
          <w:sz w:val="32"/>
          <w:szCs w:val="32"/>
          <w:highlight w:val="none"/>
          <w:u w:val="none"/>
          <w:lang w:eastAsia="zh-CN"/>
        </w:rPr>
        <w:t>、购房补贴</w:t>
      </w:r>
      <w:r>
        <w:rPr>
          <w:rFonts w:hint="eastAsia" w:ascii="仿宋" w:hAnsi="仿宋" w:eastAsia="仿宋" w:cs="仿宋"/>
          <w:b w:val="0"/>
          <w:bCs w:val="0"/>
          <w:color w:val="auto"/>
          <w:sz w:val="32"/>
          <w:szCs w:val="32"/>
          <w:highlight w:val="none"/>
          <w:u w:val="none"/>
          <w:lang w:val="en-US" w:eastAsia="zh-CN"/>
        </w:rPr>
        <w:t>30万元；</w:t>
      </w:r>
      <w:r>
        <w:rPr>
          <w:rFonts w:hint="eastAsia" w:ascii="仿宋" w:hAnsi="仿宋" w:eastAsia="仿宋" w:cs="仿宋"/>
          <w:b w:val="0"/>
          <w:bCs w:val="0"/>
          <w:color w:val="auto"/>
          <w:sz w:val="32"/>
          <w:szCs w:val="32"/>
          <w:highlight w:val="none"/>
          <w:u w:val="none"/>
        </w:rPr>
        <w:t>四类教育人才</w:t>
      </w:r>
      <w:r>
        <w:rPr>
          <w:rFonts w:hint="eastAsia" w:ascii="仿宋" w:hAnsi="仿宋" w:eastAsia="仿宋" w:cs="仿宋"/>
          <w:b w:val="0"/>
          <w:bCs w:val="0"/>
          <w:color w:val="auto"/>
          <w:sz w:val="32"/>
          <w:szCs w:val="32"/>
          <w:highlight w:val="none"/>
          <w:u w:val="none"/>
          <w:lang w:eastAsia="zh-CN"/>
        </w:rPr>
        <w:t>：给予专项奖励</w:t>
      </w:r>
      <w:r>
        <w:rPr>
          <w:rFonts w:hint="eastAsia" w:ascii="仿宋" w:hAnsi="仿宋" w:eastAsia="仿宋" w:cs="仿宋"/>
          <w:b w:val="0"/>
          <w:bCs w:val="0"/>
          <w:color w:val="auto"/>
          <w:sz w:val="32"/>
          <w:szCs w:val="32"/>
          <w:highlight w:val="none"/>
          <w:u w:val="none"/>
          <w:lang w:val="en-US" w:eastAsia="zh-CN"/>
        </w:rPr>
        <w:t>20</w:t>
      </w:r>
      <w:r>
        <w:rPr>
          <w:rFonts w:hint="eastAsia" w:ascii="仿宋" w:hAnsi="仿宋" w:eastAsia="仿宋" w:cs="仿宋"/>
          <w:b w:val="0"/>
          <w:bCs w:val="0"/>
          <w:color w:val="auto"/>
          <w:sz w:val="32"/>
          <w:szCs w:val="32"/>
          <w:highlight w:val="none"/>
          <w:u w:val="none"/>
        </w:rPr>
        <w:t>万元</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购房补贴</w:t>
      </w: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0万元</w:t>
      </w:r>
      <w:r>
        <w:rPr>
          <w:rFonts w:hint="eastAsia" w:ascii="仿宋" w:hAnsi="仿宋" w:eastAsia="仿宋" w:cs="仿宋"/>
          <w:b w:val="0"/>
          <w:bCs w:val="0"/>
          <w:color w:val="auto"/>
          <w:sz w:val="32"/>
          <w:szCs w:val="32"/>
          <w:highlight w:val="none"/>
          <w:u w:val="none"/>
          <w:lang w:eastAsia="zh-CN"/>
        </w:rPr>
        <w:t>；五类教育人才：其中第一小类给予专项奖励</w:t>
      </w:r>
      <w:r>
        <w:rPr>
          <w:rFonts w:hint="eastAsia" w:ascii="仿宋" w:hAnsi="仿宋" w:eastAsia="仿宋" w:cs="仿宋"/>
          <w:b w:val="0"/>
          <w:bCs w:val="0"/>
          <w:color w:val="auto"/>
          <w:sz w:val="32"/>
          <w:szCs w:val="32"/>
          <w:highlight w:val="none"/>
          <w:u w:val="none"/>
          <w:lang w:val="en-US" w:eastAsia="zh-CN"/>
        </w:rPr>
        <w:t>10万元，第二小类给予专项奖励5万元</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1—3类人才</w:t>
      </w:r>
      <w:r>
        <w:rPr>
          <w:rFonts w:hint="eastAsia" w:ascii="仿宋" w:hAnsi="仿宋" w:eastAsia="仿宋" w:cs="仿宋"/>
          <w:b w:val="0"/>
          <w:bCs w:val="0"/>
          <w:color w:val="auto"/>
          <w:sz w:val="32"/>
          <w:szCs w:val="32"/>
          <w:highlight w:val="none"/>
          <w:u w:val="none"/>
        </w:rPr>
        <w:t>专项</w:t>
      </w:r>
      <w:r>
        <w:rPr>
          <w:rFonts w:hint="eastAsia" w:ascii="仿宋" w:hAnsi="仿宋" w:eastAsia="仿宋" w:cs="仿宋"/>
          <w:b w:val="0"/>
          <w:bCs w:val="0"/>
          <w:color w:val="auto"/>
          <w:sz w:val="32"/>
          <w:szCs w:val="32"/>
          <w:highlight w:val="none"/>
          <w:u w:val="none"/>
          <w:lang w:eastAsia="zh-CN"/>
        </w:rPr>
        <w:t>奖励</w:t>
      </w:r>
      <w:r>
        <w:rPr>
          <w:rFonts w:hint="eastAsia" w:ascii="仿宋" w:hAnsi="仿宋" w:eastAsia="仿宋" w:cs="仿宋"/>
          <w:b w:val="0"/>
          <w:bCs w:val="0"/>
          <w:color w:val="auto"/>
          <w:sz w:val="32"/>
          <w:szCs w:val="32"/>
          <w:highlight w:val="none"/>
          <w:u w:val="none"/>
          <w:lang w:val="en-US" w:eastAsia="zh-CN"/>
        </w:rPr>
        <w:t>每年分别考核合格后按总奖励资金的18%</w:t>
      </w:r>
      <w:r>
        <w:rPr>
          <w:rFonts w:hint="eastAsia" w:ascii="仿宋" w:hAnsi="仿宋" w:eastAsia="仿宋" w:cs="仿宋"/>
          <w:b w:val="0"/>
          <w:bCs w:val="0"/>
          <w:color w:val="auto"/>
          <w:sz w:val="32"/>
          <w:szCs w:val="32"/>
          <w:highlight w:val="none"/>
          <w:u w:val="none"/>
        </w:rPr>
        <w:t>支付</w:t>
      </w:r>
      <w:r>
        <w:rPr>
          <w:rFonts w:hint="eastAsia" w:ascii="仿宋" w:hAnsi="仿宋" w:eastAsia="仿宋" w:cs="仿宋"/>
          <w:b w:val="0"/>
          <w:bCs w:val="0"/>
          <w:color w:val="auto"/>
          <w:sz w:val="32"/>
          <w:szCs w:val="32"/>
          <w:highlight w:val="none"/>
          <w:u w:val="none"/>
          <w:lang w:val="en-US" w:eastAsia="zh-CN"/>
        </w:rPr>
        <w:t>，服务期满考核合格的，支付剩余专项奖励资金；4—5类人才聘用后即支付50%的专项奖励，聘用期过半后经考核合格支付剩余的50%专项奖励。未满服务期限离职的，根据服务时间按比例退回专项奖励，并根据协议规定支付违约金。</w:t>
      </w:r>
    </w:p>
    <w:p>
      <w:pPr>
        <w:keepNext w:val="0"/>
        <w:keepLines w:val="0"/>
        <w:pageBreakBefore w:val="0"/>
        <w:widowControl/>
        <w:kinsoku/>
        <w:wordWrap/>
        <w:overflowPunct/>
        <w:topLinePunct w:val="0"/>
        <w:autoSpaceDE/>
        <w:autoSpaceDN/>
        <w:bidi w:val="0"/>
        <w:adjustRightInd w:val="0"/>
        <w:snapToGrid w:val="0"/>
        <w:spacing w:beforeLines="0" w:after="0" w:afterLines="0" w:line="52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val="en-US" w:eastAsia="zh-CN"/>
        </w:rPr>
        <w:t xml:space="preserve">第二条  </w:t>
      </w:r>
      <w:r>
        <w:rPr>
          <w:rFonts w:hint="eastAsia" w:ascii="黑体" w:hAnsi="黑体" w:eastAsia="黑体" w:cs="黑体"/>
          <w:b w:val="0"/>
          <w:bCs w:val="0"/>
          <w:color w:val="auto"/>
          <w:sz w:val="32"/>
          <w:szCs w:val="32"/>
          <w:highlight w:val="none"/>
          <w:u w:val="none"/>
          <w:lang w:eastAsia="zh-CN"/>
        </w:rPr>
        <w:t>优化引才机制。</w:t>
      </w:r>
      <w:r>
        <w:rPr>
          <w:rFonts w:hint="eastAsia" w:ascii="仿宋" w:hAnsi="仿宋" w:eastAsia="仿宋" w:cs="仿宋"/>
          <w:b w:val="0"/>
          <w:bCs w:val="0"/>
          <w:color w:val="auto"/>
          <w:sz w:val="32"/>
          <w:szCs w:val="32"/>
          <w:highlight w:val="none"/>
          <w:u w:val="none"/>
          <w:lang w:eastAsia="zh-CN"/>
        </w:rPr>
        <w:t>每年</w:t>
      </w:r>
      <w:r>
        <w:rPr>
          <w:rFonts w:hint="eastAsia" w:ascii="仿宋" w:hAnsi="仿宋" w:eastAsia="仿宋" w:cs="仿宋"/>
          <w:b w:val="0"/>
          <w:bCs w:val="0"/>
          <w:color w:val="auto"/>
          <w:sz w:val="32"/>
          <w:szCs w:val="32"/>
          <w:highlight w:val="none"/>
          <w:u w:val="none"/>
          <w:lang w:val="en-US" w:eastAsia="zh-CN"/>
        </w:rPr>
        <w:t>10月底前完成次年用编计划，第四季度发布引才公告。创新</w:t>
      </w:r>
      <w:r>
        <w:rPr>
          <w:rFonts w:hint="eastAsia" w:ascii="仿宋" w:hAnsi="仿宋" w:eastAsia="仿宋" w:cs="仿宋"/>
          <w:b w:val="0"/>
          <w:bCs w:val="0"/>
          <w:color w:val="auto"/>
          <w:sz w:val="32"/>
          <w:szCs w:val="32"/>
          <w:highlight w:val="none"/>
          <w:u w:val="none"/>
          <w:lang w:eastAsia="zh-CN"/>
        </w:rPr>
        <w:t>人才储备机制，允许在编制池内调剂使用一定编制数，用于引进紧缺学科教师。对引进的各级名师名校长，若引才单位满编，可申请使用编制周转池中的编制，引进后首轮职称聘任不受单位岗位职数限制。硕士研究生和优秀本科毕业生引进采用一次公告、常年受理、年度内有效的方式进行。特别优秀的紧缺特需人才，在年龄上可适当放宽。同时，简化招聘程序，拓宽招聘渠道，扩大学校在教师招聘、人才引进中的自主权。鼓励“柔性引进”高层次人才建立专家工作室，经考核合格给予每年5—15万元的经费补助。</w:t>
      </w:r>
      <w:r>
        <w:rPr>
          <w:rFonts w:hint="eastAsia" w:ascii="仿宋" w:hAnsi="仿宋" w:eastAsia="仿宋" w:cs="仿宋"/>
          <w:b w:val="0"/>
          <w:bCs w:val="0"/>
          <w:color w:val="auto"/>
          <w:sz w:val="32"/>
          <w:szCs w:val="32"/>
          <w:highlight w:val="none"/>
          <w:u w:val="none"/>
          <w:lang w:val="en-US" w:eastAsia="zh-CN"/>
        </w:rPr>
        <w:t>用好“银龄计划”，面向全省招募特级校长、特级教师、正高级教师和省级名师等优秀退休教师到龙泉支教，为期三年，按人才层次每年给予25—40万元人才津贴，并配套住房安居保障、往来交通补贴、市域内免费旅游等优惠政策；对市域内现有的特级教师、正高级教师及其他特别优秀的名优骨干教师，建立“一事一议”特殊通道，由所在学校成立自聘教师工作室，每年给予相应经费保障。</w:t>
      </w:r>
      <w:r>
        <w:rPr>
          <w:rFonts w:hint="eastAsia" w:ascii="仿宋" w:hAnsi="仿宋" w:eastAsia="仿宋" w:cs="仿宋"/>
          <w:b w:val="0"/>
          <w:bCs w:val="0"/>
          <w:color w:val="auto"/>
          <w:sz w:val="32"/>
          <w:szCs w:val="32"/>
          <w:highlight w:val="none"/>
          <w:u w:val="none"/>
          <w:lang w:eastAsia="zh-CN"/>
        </w:rPr>
        <w:t>推动优质师范大学设立教育引才驿站，聘请引才工作大使，定期开展人才交流活动，对每个引才驿站一次性给予建设工作经费3万元，引才大使三年一聘，每年给予工作经费1万元。对引才驿站每招收并落地一名博士研究生、硕士研究生（含“211”“双一流”大学本科毕业生）、优秀本科毕业生，分别按每人10000 元、5000 元、3000 元给予引才奖励。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rPr>
        <w:t>第</w:t>
      </w:r>
      <w:r>
        <w:rPr>
          <w:rFonts w:hint="eastAsia" w:ascii="黑体" w:hAnsi="黑体" w:eastAsia="黑体" w:cs="黑体"/>
          <w:b w:val="0"/>
          <w:bCs w:val="0"/>
          <w:color w:val="auto"/>
          <w:sz w:val="32"/>
          <w:szCs w:val="32"/>
          <w:highlight w:val="none"/>
          <w:u w:val="none"/>
          <w:lang w:eastAsia="zh-CN"/>
        </w:rPr>
        <w:t>三</w:t>
      </w:r>
      <w:r>
        <w:rPr>
          <w:rFonts w:hint="eastAsia" w:ascii="黑体" w:hAnsi="黑体" w:eastAsia="黑体" w:cs="黑体"/>
          <w:b w:val="0"/>
          <w:bCs w:val="0"/>
          <w:color w:val="auto"/>
          <w:sz w:val="32"/>
          <w:szCs w:val="32"/>
          <w:highlight w:val="none"/>
          <w:u w:val="none"/>
        </w:rPr>
        <w:t>条 提前</w:t>
      </w:r>
      <w:r>
        <w:rPr>
          <w:rFonts w:hint="eastAsia" w:ascii="黑体" w:hAnsi="黑体" w:eastAsia="黑体" w:cs="黑体"/>
          <w:b w:val="0"/>
          <w:bCs w:val="0"/>
          <w:color w:val="auto"/>
          <w:sz w:val="32"/>
          <w:szCs w:val="32"/>
          <w:highlight w:val="none"/>
          <w:u w:val="none"/>
          <w:lang w:eastAsia="zh-CN"/>
        </w:rPr>
        <w:t>招引人才</w:t>
      </w:r>
      <w:r>
        <w:rPr>
          <w:rFonts w:hint="eastAsia" w:ascii="黑体" w:hAnsi="黑体" w:eastAsia="黑体" w:cs="黑体"/>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rPr>
        <w:t>对在“211工程”“双一流”</w:t>
      </w:r>
      <w:r>
        <w:rPr>
          <w:rFonts w:hint="eastAsia" w:ascii="仿宋" w:hAnsi="仿宋" w:eastAsia="仿宋" w:cs="仿宋"/>
          <w:b w:val="0"/>
          <w:bCs w:val="0"/>
          <w:color w:val="auto"/>
          <w:sz w:val="32"/>
          <w:szCs w:val="32"/>
          <w:highlight w:val="none"/>
          <w:u w:val="none"/>
          <w:lang w:eastAsia="zh-CN"/>
        </w:rPr>
        <w:t>大学和教育人才引进类别所列优质</w:t>
      </w:r>
      <w:r>
        <w:rPr>
          <w:rFonts w:hint="eastAsia" w:ascii="仿宋" w:hAnsi="仿宋" w:eastAsia="仿宋" w:cs="仿宋"/>
          <w:b w:val="0"/>
          <w:bCs w:val="0"/>
          <w:color w:val="auto"/>
          <w:sz w:val="32"/>
          <w:szCs w:val="32"/>
          <w:highlight w:val="none"/>
          <w:u w:val="none"/>
        </w:rPr>
        <w:t>师范大学就读的本科大三、大四或研二、研三的优秀学生，市教育局可与其签订引才</w:t>
      </w:r>
      <w:r>
        <w:rPr>
          <w:rFonts w:hint="eastAsia" w:ascii="仿宋" w:hAnsi="仿宋" w:eastAsia="仿宋" w:cs="仿宋"/>
          <w:b w:val="0"/>
          <w:bCs w:val="0"/>
          <w:color w:val="auto"/>
          <w:sz w:val="32"/>
          <w:szCs w:val="32"/>
          <w:highlight w:val="none"/>
          <w:u w:val="none"/>
          <w:lang w:eastAsia="zh-CN"/>
        </w:rPr>
        <w:t>意向</w:t>
      </w:r>
      <w:r>
        <w:rPr>
          <w:rFonts w:hint="eastAsia" w:ascii="仿宋" w:hAnsi="仿宋" w:eastAsia="仿宋" w:cs="仿宋"/>
          <w:b w:val="0"/>
          <w:bCs w:val="0"/>
          <w:color w:val="auto"/>
          <w:sz w:val="32"/>
          <w:szCs w:val="32"/>
          <w:highlight w:val="none"/>
          <w:u w:val="none"/>
        </w:rPr>
        <w:t>协议</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自签订协议</w:t>
      </w:r>
      <w:r>
        <w:rPr>
          <w:rFonts w:hint="eastAsia" w:ascii="仿宋" w:hAnsi="仿宋" w:eastAsia="仿宋" w:cs="仿宋"/>
          <w:b w:val="0"/>
          <w:bCs w:val="0"/>
          <w:color w:val="auto"/>
          <w:sz w:val="32"/>
          <w:szCs w:val="32"/>
          <w:highlight w:val="none"/>
          <w:u w:val="none"/>
          <w:lang w:eastAsia="zh-CN"/>
        </w:rPr>
        <w:t>起</w:t>
      </w:r>
      <w:r>
        <w:rPr>
          <w:rFonts w:hint="eastAsia" w:ascii="仿宋" w:hAnsi="仿宋" w:eastAsia="仿宋" w:cs="仿宋"/>
          <w:b w:val="0"/>
          <w:bCs w:val="0"/>
          <w:color w:val="auto"/>
          <w:sz w:val="32"/>
          <w:szCs w:val="32"/>
          <w:highlight w:val="none"/>
          <w:u w:val="none"/>
        </w:rPr>
        <w:t>至毕业期间</w:t>
      </w:r>
      <w:r>
        <w:rPr>
          <w:rFonts w:hint="eastAsia" w:ascii="仿宋" w:hAnsi="仿宋" w:eastAsia="仿宋" w:cs="仿宋"/>
          <w:b w:val="0"/>
          <w:bCs w:val="0"/>
          <w:color w:val="auto"/>
          <w:sz w:val="32"/>
          <w:szCs w:val="32"/>
          <w:highlight w:val="none"/>
          <w:u w:val="none"/>
          <w:lang w:eastAsia="zh-CN"/>
        </w:rPr>
        <w:t>给予生活补贴，</w:t>
      </w:r>
      <w:r>
        <w:rPr>
          <w:rFonts w:hint="eastAsia" w:ascii="仿宋" w:hAnsi="仿宋" w:eastAsia="仿宋" w:cs="仿宋"/>
          <w:b w:val="0"/>
          <w:bCs w:val="0"/>
          <w:color w:val="auto"/>
          <w:sz w:val="32"/>
          <w:szCs w:val="32"/>
          <w:highlight w:val="none"/>
          <w:u w:val="none"/>
        </w:rPr>
        <w:t>“211工程”“双一流”大学</w:t>
      </w:r>
      <w:r>
        <w:rPr>
          <w:rFonts w:hint="eastAsia" w:ascii="仿宋" w:hAnsi="仿宋" w:eastAsia="仿宋" w:cs="仿宋"/>
          <w:b w:val="0"/>
          <w:bCs w:val="0"/>
          <w:color w:val="auto"/>
          <w:sz w:val="32"/>
          <w:szCs w:val="32"/>
          <w:highlight w:val="none"/>
          <w:u w:val="none"/>
          <w:lang w:eastAsia="zh-CN"/>
        </w:rPr>
        <w:t>本科生</w:t>
      </w:r>
      <w:r>
        <w:rPr>
          <w:rFonts w:hint="eastAsia" w:ascii="仿宋" w:hAnsi="仿宋" w:eastAsia="仿宋" w:cs="仿宋"/>
          <w:b w:val="0"/>
          <w:bCs w:val="0"/>
          <w:color w:val="auto"/>
          <w:sz w:val="32"/>
          <w:szCs w:val="32"/>
          <w:highlight w:val="none"/>
          <w:u w:val="none"/>
          <w:lang w:val="en-US" w:eastAsia="zh-CN"/>
        </w:rPr>
        <w:t>6000元/学年、研究生1.2万元/学年，优质</w:t>
      </w:r>
      <w:r>
        <w:rPr>
          <w:rFonts w:hint="eastAsia" w:ascii="仿宋" w:hAnsi="仿宋" w:eastAsia="仿宋" w:cs="仿宋"/>
          <w:b w:val="0"/>
          <w:bCs w:val="0"/>
          <w:color w:val="auto"/>
          <w:sz w:val="32"/>
          <w:szCs w:val="32"/>
          <w:highlight w:val="none"/>
          <w:u w:val="none"/>
        </w:rPr>
        <w:t>师范大学</w:t>
      </w:r>
      <w:r>
        <w:rPr>
          <w:rFonts w:hint="eastAsia" w:ascii="仿宋" w:hAnsi="仿宋" w:eastAsia="仿宋" w:cs="仿宋"/>
          <w:b w:val="0"/>
          <w:bCs w:val="0"/>
          <w:color w:val="auto"/>
          <w:sz w:val="32"/>
          <w:szCs w:val="32"/>
          <w:highlight w:val="none"/>
          <w:u w:val="none"/>
          <w:lang w:eastAsia="zh-CN"/>
        </w:rPr>
        <w:t>本科生</w:t>
      </w:r>
      <w:r>
        <w:rPr>
          <w:rFonts w:hint="eastAsia" w:ascii="仿宋" w:hAnsi="仿宋" w:eastAsia="仿宋" w:cs="仿宋"/>
          <w:b w:val="0"/>
          <w:bCs w:val="0"/>
          <w:color w:val="auto"/>
          <w:sz w:val="32"/>
          <w:szCs w:val="32"/>
          <w:highlight w:val="none"/>
          <w:u w:val="none"/>
          <w:lang w:val="en-US" w:eastAsia="zh-CN"/>
        </w:rPr>
        <w:t>5000元/学年、研究生1万元/学年</w:t>
      </w:r>
      <w:r>
        <w:rPr>
          <w:rFonts w:hint="eastAsia" w:ascii="仿宋" w:hAnsi="仿宋" w:eastAsia="仿宋" w:cs="仿宋"/>
          <w:b w:val="0"/>
          <w:bCs w:val="0"/>
          <w:color w:val="auto"/>
          <w:sz w:val="32"/>
          <w:szCs w:val="32"/>
          <w:highlight w:val="none"/>
          <w:u w:val="none"/>
        </w:rPr>
        <w:t>。自签订协议至毕业期间获得学校</w:t>
      </w:r>
      <w:r>
        <w:rPr>
          <w:rFonts w:hint="eastAsia" w:ascii="仿宋" w:hAnsi="仿宋" w:eastAsia="仿宋" w:cs="仿宋"/>
          <w:b w:val="0"/>
          <w:bCs w:val="0"/>
          <w:color w:val="auto"/>
          <w:sz w:val="32"/>
          <w:szCs w:val="32"/>
          <w:highlight w:val="none"/>
          <w:u w:val="none"/>
          <w:lang w:eastAsia="zh-CN"/>
        </w:rPr>
        <w:t>三</w:t>
      </w:r>
      <w:r>
        <w:rPr>
          <w:rFonts w:hint="eastAsia" w:ascii="仿宋" w:hAnsi="仿宋" w:eastAsia="仿宋" w:cs="仿宋"/>
          <w:b w:val="0"/>
          <w:bCs w:val="0"/>
          <w:color w:val="auto"/>
          <w:sz w:val="32"/>
          <w:szCs w:val="32"/>
          <w:highlight w:val="none"/>
          <w:u w:val="none"/>
        </w:rPr>
        <w:t>等</w:t>
      </w:r>
      <w:r>
        <w:rPr>
          <w:rFonts w:hint="eastAsia" w:ascii="仿宋" w:hAnsi="仿宋" w:eastAsia="仿宋" w:cs="仿宋"/>
          <w:b w:val="0"/>
          <w:bCs w:val="0"/>
          <w:color w:val="auto"/>
          <w:sz w:val="32"/>
          <w:szCs w:val="32"/>
          <w:highlight w:val="none"/>
          <w:u w:val="none"/>
          <w:lang w:eastAsia="zh-CN"/>
        </w:rPr>
        <w:t>及</w:t>
      </w:r>
      <w:r>
        <w:rPr>
          <w:rFonts w:hint="eastAsia" w:ascii="仿宋" w:hAnsi="仿宋" w:eastAsia="仿宋" w:cs="仿宋"/>
          <w:b w:val="0"/>
          <w:bCs w:val="0"/>
          <w:color w:val="auto"/>
          <w:sz w:val="32"/>
          <w:szCs w:val="32"/>
          <w:highlight w:val="none"/>
          <w:u w:val="none"/>
        </w:rPr>
        <w:t>以上奖学金的，</w:t>
      </w:r>
      <w:r>
        <w:rPr>
          <w:rFonts w:hint="eastAsia" w:ascii="仿宋" w:hAnsi="仿宋" w:eastAsia="仿宋" w:cs="仿宋"/>
          <w:b w:val="0"/>
          <w:bCs w:val="0"/>
          <w:color w:val="auto"/>
          <w:sz w:val="32"/>
          <w:szCs w:val="32"/>
          <w:highlight w:val="none"/>
          <w:u w:val="none"/>
          <w:lang w:eastAsia="zh-CN"/>
        </w:rPr>
        <w:t>参照所获奖学金等次及标准给予</w:t>
      </w:r>
      <w:r>
        <w:rPr>
          <w:rFonts w:hint="eastAsia" w:ascii="仿宋" w:hAnsi="仿宋" w:eastAsia="仿宋" w:cs="仿宋"/>
          <w:b w:val="0"/>
          <w:bCs w:val="0"/>
          <w:color w:val="auto"/>
          <w:sz w:val="32"/>
          <w:szCs w:val="32"/>
          <w:highlight w:val="none"/>
          <w:u w:val="none"/>
        </w:rPr>
        <w:t>奖励。</w:t>
      </w:r>
      <w:r>
        <w:rPr>
          <w:rFonts w:hint="eastAsia" w:ascii="仿宋" w:hAnsi="仿宋" w:eastAsia="仿宋" w:cs="仿宋"/>
          <w:b w:val="0"/>
          <w:bCs w:val="0"/>
          <w:color w:val="auto"/>
          <w:sz w:val="32"/>
          <w:szCs w:val="32"/>
          <w:highlight w:val="none"/>
          <w:u w:val="none"/>
          <w:lang w:eastAsia="zh-CN"/>
        </w:rPr>
        <w:t>自签订协议之日起兑现</w:t>
      </w:r>
      <w:r>
        <w:rPr>
          <w:rFonts w:hint="eastAsia" w:ascii="仿宋" w:hAnsi="仿宋" w:eastAsia="仿宋" w:cs="仿宋"/>
          <w:b w:val="0"/>
          <w:bCs w:val="0"/>
          <w:color w:val="auto"/>
          <w:sz w:val="32"/>
          <w:szCs w:val="32"/>
          <w:highlight w:val="none"/>
          <w:u w:val="none"/>
        </w:rPr>
        <w:t>生活补助</w:t>
      </w:r>
      <w:r>
        <w:rPr>
          <w:rFonts w:hint="eastAsia" w:ascii="仿宋" w:hAnsi="仿宋" w:eastAsia="仿宋" w:cs="仿宋"/>
          <w:b w:val="0"/>
          <w:bCs w:val="0"/>
          <w:color w:val="auto"/>
          <w:sz w:val="32"/>
          <w:szCs w:val="32"/>
          <w:highlight w:val="none"/>
          <w:u w:val="none"/>
          <w:lang w:eastAsia="zh-CN"/>
        </w:rPr>
        <w:t>（不足一年按实际天数计算），由个人提供奖学金相应佐证材料后兑现</w:t>
      </w:r>
      <w:r>
        <w:rPr>
          <w:rFonts w:hint="eastAsia" w:ascii="仿宋" w:hAnsi="仿宋" w:eastAsia="仿宋" w:cs="仿宋"/>
          <w:b w:val="0"/>
          <w:bCs w:val="0"/>
          <w:color w:val="auto"/>
          <w:sz w:val="32"/>
          <w:szCs w:val="32"/>
          <w:highlight w:val="none"/>
          <w:u w:val="none"/>
        </w:rPr>
        <w:t>奖励</w:t>
      </w:r>
      <w:r>
        <w:rPr>
          <w:rFonts w:hint="eastAsia" w:ascii="仿宋" w:hAnsi="仿宋" w:eastAsia="仿宋" w:cs="仿宋"/>
          <w:b w:val="0"/>
          <w:bCs w:val="0"/>
          <w:color w:val="auto"/>
          <w:sz w:val="32"/>
          <w:szCs w:val="32"/>
          <w:highlight w:val="none"/>
          <w:u w:val="none"/>
          <w:lang w:eastAsia="zh-CN"/>
        </w:rPr>
        <w:t>；提前签订意向协议人才可</w:t>
      </w:r>
      <w:r>
        <w:rPr>
          <w:rFonts w:hint="eastAsia" w:ascii="仿宋" w:hAnsi="仿宋" w:eastAsia="仿宋" w:cs="仿宋"/>
          <w:b w:val="0"/>
          <w:bCs w:val="0"/>
          <w:color w:val="auto"/>
          <w:sz w:val="32"/>
          <w:szCs w:val="32"/>
          <w:highlight w:val="none"/>
          <w:u w:val="none"/>
        </w:rPr>
        <w:t>享受人才引进激励政策</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服务期未满5年的，根据服务年限按比例退回生活补助</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一次性奖励</w:t>
      </w:r>
      <w:r>
        <w:rPr>
          <w:rFonts w:hint="eastAsia" w:ascii="仿宋" w:hAnsi="仿宋" w:eastAsia="仿宋" w:cs="仿宋"/>
          <w:b w:val="0"/>
          <w:bCs w:val="0"/>
          <w:color w:val="auto"/>
          <w:sz w:val="32"/>
          <w:szCs w:val="32"/>
          <w:highlight w:val="none"/>
          <w:u w:val="none"/>
          <w:lang w:eastAsia="zh-CN"/>
        </w:rPr>
        <w:t>和人才引进专项补助</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鼓励已签订引才协议的引才对象来龙实习，按每月</w:t>
      </w:r>
      <w:r>
        <w:rPr>
          <w:rFonts w:hint="eastAsia" w:ascii="仿宋" w:hAnsi="仿宋" w:eastAsia="仿宋" w:cs="仿宋"/>
          <w:b w:val="0"/>
          <w:bCs w:val="0"/>
          <w:color w:val="auto"/>
          <w:sz w:val="32"/>
          <w:szCs w:val="32"/>
          <w:highlight w:val="none"/>
          <w:u w:val="none"/>
          <w:lang w:val="en-US" w:eastAsia="zh-CN"/>
        </w:rPr>
        <w:t>2000元标准给予生活补助（不足一月按实际天数折算），同时给予保险补助及租住人才公寓等安居保障，并报销往来交通费用</w:t>
      </w:r>
      <w:r>
        <w:rPr>
          <w:rFonts w:hint="eastAsia" w:ascii="仿宋" w:hAnsi="仿宋" w:eastAsia="仿宋" w:cs="仿宋"/>
          <w:b w:val="0"/>
          <w:bCs w:val="0"/>
          <w:color w:val="auto"/>
          <w:sz w:val="32"/>
          <w:szCs w:val="32"/>
          <w:highlight w:val="none"/>
          <w:u w:val="none"/>
          <w:lang w:eastAsia="zh-CN"/>
        </w:rPr>
        <w:t>。对</w:t>
      </w:r>
      <w:r>
        <w:rPr>
          <w:rFonts w:hint="eastAsia" w:ascii="仿宋" w:hAnsi="仿宋" w:eastAsia="仿宋" w:cs="仿宋"/>
          <w:b w:val="0"/>
          <w:bCs w:val="0"/>
          <w:color w:val="auto"/>
          <w:sz w:val="32"/>
          <w:szCs w:val="32"/>
          <w:highlight w:val="none"/>
          <w:u w:val="none"/>
          <w:lang w:val="en-US" w:eastAsia="zh-CN"/>
        </w:rPr>
        <w:t>优秀高中毕业生进行教师职业生涯规划引导。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第四条</w:t>
      </w:r>
      <w:r>
        <w:rPr>
          <w:rFonts w:hint="eastAsia" w:ascii="黑体" w:hAnsi="黑体" w:eastAsia="黑体" w:cs="黑体"/>
          <w:b w:val="0"/>
          <w:bCs w:val="0"/>
          <w:color w:val="auto"/>
          <w:sz w:val="32"/>
          <w:szCs w:val="32"/>
          <w:highlight w:val="none"/>
          <w:u w:val="none"/>
          <w:lang w:val="en-US" w:eastAsia="zh-CN"/>
        </w:rPr>
        <w:t xml:space="preserve">  优化人才综合服务。</w:t>
      </w:r>
      <w:r>
        <w:rPr>
          <w:rFonts w:hint="eastAsia" w:ascii="仿宋" w:hAnsi="仿宋" w:eastAsia="仿宋" w:cs="仿宋"/>
          <w:b w:val="0"/>
          <w:bCs w:val="0"/>
          <w:color w:val="auto"/>
          <w:sz w:val="32"/>
          <w:szCs w:val="32"/>
          <w:highlight w:val="none"/>
          <w:u w:val="none"/>
          <w:lang w:val="en-US" w:eastAsia="zh-CN"/>
        </w:rPr>
        <w:t>来龙加入教育队伍的人才，享受以下优质服务。</w:t>
      </w:r>
    </w:p>
    <w:tbl>
      <w:tblPr>
        <w:tblStyle w:val="4"/>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8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51" w:type="dxa"/>
            <w:vAlign w:val="top"/>
          </w:tcPr>
          <w:p>
            <w:pPr>
              <w:widowControl w:val="0"/>
              <w:wordWrap/>
              <w:adjustRightInd w:val="0"/>
              <w:snapToGrid w:val="0"/>
              <w:spacing w:line="580" w:lineRule="exact"/>
              <w:jc w:val="center"/>
              <w:textAlignment w:val="auto"/>
              <w:rPr>
                <w:rFonts w:hint="eastAsia" w:ascii="黑体" w:hAnsi="黑体" w:eastAsia="黑体" w:cs="黑体"/>
                <w:b w:val="0"/>
                <w:bCs w:val="0"/>
                <w:color w:val="auto"/>
                <w:sz w:val="28"/>
                <w:szCs w:val="28"/>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项目</w:t>
            </w:r>
          </w:p>
        </w:tc>
        <w:tc>
          <w:tcPr>
            <w:tcW w:w="8068" w:type="dxa"/>
            <w:vAlign w:val="top"/>
          </w:tcPr>
          <w:p>
            <w:pPr>
              <w:widowControl w:val="0"/>
              <w:wordWrap/>
              <w:adjustRightInd w:val="0"/>
              <w:snapToGrid w:val="0"/>
              <w:spacing w:line="580" w:lineRule="exact"/>
              <w:jc w:val="center"/>
              <w:textAlignment w:val="auto"/>
              <w:rPr>
                <w:rFonts w:hint="eastAsia" w:ascii="黑体" w:hAnsi="黑体" w:eastAsia="黑体" w:cs="黑体"/>
                <w:b w:val="0"/>
                <w:bCs w:val="0"/>
                <w:color w:val="auto"/>
                <w:sz w:val="28"/>
                <w:szCs w:val="28"/>
                <w:highlight w:val="none"/>
                <w:u w:val="none"/>
                <w:lang w:val="en-US" w:eastAsia="zh-CN"/>
              </w:rPr>
            </w:pPr>
            <w:r>
              <w:rPr>
                <w:rFonts w:hint="eastAsia" w:ascii="黑体" w:hAnsi="黑体" w:eastAsia="黑体" w:cs="黑体"/>
                <w:b w:val="0"/>
                <w:bCs w:val="0"/>
                <w:color w:val="auto"/>
                <w:sz w:val="28"/>
                <w:szCs w:val="28"/>
                <w:highlight w:val="none"/>
                <w:u w:val="none"/>
                <w:lang w:val="en-US"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1351" w:type="dxa"/>
            <w:vAlign w:val="center"/>
          </w:tcPr>
          <w:p>
            <w:pPr>
              <w:widowControl w:val="0"/>
              <w:wordWrap/>
              <w:adjustRightInd w:val="0"/>
              <w:snapToGrid w:val="0"/>
              <w:spacing w:line="580" w:lineRule="exact"/>
              <w:jc w:val="center"/>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人才安居</w:t>
            </w:r>
          </w:p>
        </w:tc>
        <w:tc>
          <w:tcPr>
            <w:tcW w:w="8068" w:type="dxa"/>
            <w:vAlign w:val="top"/>
          </w:tcPr>
          <w:p>
            <w:pPr>
              <w:widowControl w:val="0"/>
              <w:wordWrap/>
              <w:adjustRightInd w:val="0"/>
              <w:snapToGrid w:val="0"/>
              <w:spacing w:line="580" w:lineRule="exac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对在龙泉城区无住房的一、二、三类人才和第四类人才中的地市级以上学科带头人、硕士研究生、</w:t>
            </w:r>
            <w:r>
              <w:rPr>
                <w:rFonts w:hint="eastAsia" w:ascii="仿宋" w:hAnsi="仿宋" w:eastAsia="仿宋" w:cs="仿宋"/>
                <w:b w:val="0"/>
                <w:bCs w:val="0"/>
                <w:color w:val="auto"/>
                <w:sz w:val="24"/>
                <w:szCs w:val="24"/>
                <w:highlight w:val="none"/>
                <w:u w:val="none"/>
              </w:rPr>
              <w:t>“211工程”</w:t>
            </w:r>
            <w:r>
              <w:rPr>
                <w:rFonts w:hint="eastAsia" w:ascii="仿宋" w:hAnsi="仿宋" w:eastAsia="仿宋" w:cs="仿宋"/>
                <w:b w:val="0"/>
                <w:bCs w:val="0"/>
                <w:color w:val="auto"/>
                <w:sz w:val="24"/>
                <w:szCs w:val="24"/>
                <w:highlight w:val="none"/>
                <w:u w:val="none"/>
                <w:lang w:val="en-US" w:eastAsia="zh-CN"/>
              </w:rPr>
              <w:t>“双一流”本科毕业生，分别给予每年6万元、5万元、4万元、3万元的租房补贴，补贴均不超过10年；对在龙泉城区无住房的其他优秀本科毕业生给予每年1.2万元租房补贴，补贴不超过5年。引进人才可租住人才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1" w:type="dxa"/>
            <w:vAlign w:val="center"/>
          </w:tcPr>
          <w:p>
            <w:pPr>
              <w:widowControl w:val="0"/>
              <w:wordWrap/>
              <w:adjustRightInd w:val="0"/>
              <w:snapToGrid w:val="0"/>
              <w:spacing w:line="580" w:lineRule="exact"/>
              <w:jc w:val="center"/>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子女入学</w:t>
            </w:r>
          </w:p>
        </w:tc>
        <w:tc>
          <w:tcPr>
            <w:tcW w:w="8068" w:type="dxa"/>
            <w:vAlign w:val="top"/>
          </w:tcPr>
          <w:p>
            <w:pPr>
              <w:widowControl w:val="0"/>
              <w:wordWrap/>
              <w:adjustRightInd w:val="0"/>
              <w:snapToGrid w:val="0"/>
              <w:spacing w:line="580" w:lineRule="exac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在学前和义务教育阶段按照就近便利原则保障引进人才子女优先入学入园。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351" w:type="dxa"/>
            <w:vAlign w:val="center"/>
          </w:tcPr>
          <w:p>
            <w:pPr>
              <w:widowControl w:val="0"/>
              <w:wordWrap/>
              <w:adjustRightInd w:val="0"/>
              <w:snapToGrid w:val="0"/>
              <w:spacing w:line="580" w:lineRule="exact"/>
              <w:jc w:val="center"/>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人才成长</w:t>
            </w:r>
          </w:p>
        </w:tc>
        <w:tc>
          <w:tcPr>
            <w:tcW w:w="8068" w:type="dxa"/>
            <w:vAlign w:val="top"/>
          </w:tcPr>
          <w:p>
            <w:pPr>
              <w:widowControl w:val="0"/>
              <w:wordWrap/>
              <w:adjustRightInd w:val="0"/>
              <w:snapToGrid w:val="0"/>
              <w:spacing w:line="580" w:lineRule="exac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建立青年人才举荐制度，引进的全日制硕士研究生和优秀本科毕业生可参加龙泉市干部人才综合比选。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351" w:type="dxa"/>
            <w:vAlign w:val="center"/>
          </w:tcPr>
          <w:p>
            <w:pPr>
              <w:widowControl w:val="0"/>
              <w:wordWrap/>
              <w:adjustRightInd w:val="0"/>
              <w:snapToGrid w:val="0"/>
              <w:spacing w:line="580" w:lineRule="exact"/>
              <w:jc w:val="center"/>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招聘补贴</w:t>
            </w:r>
          </w:p>
        </w:tc>
        <w:tc>
          <w:tcPr>
            <w:tcW w:w="8068" w:type="dxa"/>
            <w:vAlign w:val="top"/>
          </w:tcPr>
          <w:p>
            <w:pPr>
              <w:widowControl w:val="0"/>
              <w:wordWrap/>
              <w:adjustRightInd w:val="0"/>
              <w:snapToGrid w:val="0"/>
              <w:spacing w:line="580" w:lineRule="exac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优秀高校毕业生来我市参加教育系统招聘招考活动的，经审定，按照每人次 500—1000 元的标准给予交通食宿补贴。</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第五条  提升在职教师学历水平。</w:t>
      </w:r>
      <w:r>
        <w:rPr>
          <w:rFonts w:hint="eastAsia" w:ascii="仿宋" w:hAnsi="仿宋" w:eastAsia="仿宋" w:cs="仿宋"/>
          <w:b w:val="0"/>
          <w:bCs w:val="0"/>
          <w:color w:val="auto"/>
          <w:sz w:val="32"/>
          <w:szCs w:val="32"/>
          <w:highlight w:val="none"/>
          <w:u w:val="none"/>
          <w:lang w:val="en-US" w:eastAsia="zh-CN"/>
        </w:rPr>
        <w:t>鼓励在职教师经审批同意参加与现教育教学岗位对口的专业进修学习并取得研究生学历（含硕士学位），对</w:t>
      </w:r>
      <w:r>
        <w:rPr>
          <w:rFonts w:hint="eastAsia" w:ascii="仿宋" w:hAnsi="仿宋" w:eastAsia="仿宋" w:cs="仿宋"/>
          <w:b w:val="0"/>
          <w:bCs w:val="0"/>
          <w:color w:val="auto"/>
          <w:sz w:val="32"/>
          <w:szCs w:val="32"/>
          <w:highlight w:val="none"/>
          <w:u w:val="none"/>
        </w:rPr>
        <w:t>取得硕士学位后并签订</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年以上服务协议的给予</w:t>
      </w:r>
      <w:r>
        <w:rPr>
          <w:rFonts w:hint="eastAsia" w:ascii="仿宋" w:hAnsi="仿宋" w:eastAsia="仿宋" w:cs="仿宋"/>
          <w:b w:val="0"/>
          <w:bCs w:val="0"/>
          <w:color w:val="auto"/>
          <w:sz w:val="32"/>
          <w:szCs w:val="32"/>
          <w:highlight w:val="none"/>
          <w:u w:val="none"/>
          <w:lang w:eastAsia="zh-CN"/>
        </w:rPr>
        <w:t>一次性</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万元学习深造资助</w:t>
      </w:r>
      <w:r>
        <w:rPr>
          <w:rFonts w:hint="eastAsia" w:ascii="仿宋" w:hAnsi="仿宋" w:eastAsia="仿宋" w:cs="仿宋"/>
          <w:b w:val="0"/>
          <w:bCs w:val="0"/>
          <w:color w:val="auto"/>
          <w:sz w:val="32"/>
          <w:szCs w:val="32"/>
          <w:highlight w:val="none"/>
          <w:u w:val="none"/>
          <w:lang w:eastAsia="zh-CN"/>
        </w:rPr>
        <w:t>，对</w:t>
      </w:r>
      <w:r>
        <w:rPr>
          <w:rFonts w:hint="eastAsia" w:ascii="仿宋" w:hAnsi="仿宋" w:eastAsia="仿宋" w:cs="仿宋"/>
          <w:b w:val="0"/>
          <w:bCs w:val="0"/>
          <w:color w:val="auto"/>
          <w:sz w:val="32"/>
          <w:szCs w:val="32"/>
          <w:highlight w:val="none"/>
          <w:u w:val="none"/>
        </w:rPr>
        <w:t>取得学位学历双证的另外给予1万元学习深造资助</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对</w:t>
      </w:r>
      <w:r>
        <w:rPr>
          <w:rFonts w:hint="eastAsia" w:ascii="仿宋" w:hAnsi="仿宋" w:eastAsia="仿宋" w:cs="仿宋"/>
          <w:b w:val="0"/>
          <w:bCs w:val="0"/>
          <w:color w:val="auto"/>
          <w:sz w:val="32"/>
          <w:szCs w:val="32"/>
          <w:highlight w:val="none"/>
          <w:u w:val="none"/>
        </w:rPr>
        <w:t>取得博士学位后并签订</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年以上服务协议的给予</w:t>
      </w:r>
      <w:r>
        <w:rPr>
          <w:rFonts w:hint="eastAsia" w:ascii="仿宋" w:hAnsi="仿宋" w:eastAsia="仿宋" w:cs="仿宋"/>
          <w:b w:val="0"/>
          <w:bCs w:val="0"/>
          <w:color w:val="auto"/>
          <w:sz w:val="32"/>
          <w:szCs w:val="32"/>
          <w:highlight w:val="none"/>
          <w:u w:val="none"/>
          <w:lang w:eastAsia="zh-CN"/>
        </w:rPr>
        <w:t>一次性</w:t>
      </w:r>
      <w:r>
        <w:rPr>
          <w:rFonts w:hint="eastAsia" w:ascii="仿宋" w:hAnsi="仿宋" w:eastAsia="仿宋" w:cs="仿宋"/>
          <w:b w:val="0"/>
          <w:bCs w:val="0"/>
          <w:color w:val="auto"/>
          <w:sz w:val="32"/>
          <w:szCs w:val="32"/>
          <w:highlight w:val="none"/>
          <w:u w:val="none"/>
          <w:lang w:val="en-US" w:eastAsia="zh-CN"/>
        </w:rPr>
        <w:t>10</w:t>
      </w:r>
      <w:r>
        <w:rPr>
          <w:rFonts w:hint="eastAsia" w:ascii="仿宋" w:hAnsi="仿宋" w:eastAsia="仿宋" w:cs="仿宋"/>
          <w:b w:val="0"/>
          <w:bCs w:val="0"/>
          <w:color w:val="auto"/>
          <w:sz w:val="32"/>
          <w:szCs w:val="32"/>
          <w:highlight w:val="none"/>
          <w:u w:val="none"/>
        </w:rPr>
        <w:t>万元学习深造资助</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取得研究生学历（学位）的在职称评聘中予以优先推荐。教师攻读在职研究生脱产学习期间，用人单位按照不低于原岗位平均标准发放绩效工资。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 xml:space="preserve">第六条 </w:t>
      </w:r>
      <w:r>
        <w:rPr>
          <w:rFonts w:hint="eastAsia" w:ascii="黑体" w:hAnsi="黑体" w:eastAsia="黑体" w:cs="黑体"/>
          <w:b w:val="0"/>
          <w:bCs w:val="0"/>
          <w:color w:val="auto"/>
          <w:sz w:val="32"/>
          <w:szCs w:val="32"/>
          <w:highlight w:val="none"/>
          <w:u w:val="none"/>
          <w:lang w:val="en-US" w:eastAsia="zh-CN"/>
        </w:rPr>
        <w:t xml:space="preserve"> 提升定向委培生培育绩效。</w:t>
      </w:r>
      <w:r>
        <w:rPr>
          <w:rFonts w:hint="eastAsia" w:ascii="仿宋" w:hAnsi="仿宋" w:eastAsia="仿宋" w:cs="仿宋"/>
          <w:b w:val="0"/>
          <w:bCs w:val="0"/>
          <w:color w:val="auto"/>
          <w:sz w:val="32"/>
          <w:szCs w:val="32"/>
          <w:highlight w:val="none"/>
          <w:u w:val="none"/>
          <w:lang w:val="en-US" w:eastAsia="zh-CN"/>
        </w:rPr>
        <w:t>优化定向委培生学费补助支付方式，每年支付学费补助。引导定向委培生优进优出，对就读浙师大、杭师大委培生在委培期间学习成绩优秀，学年绩点排名在本年级前15%每月补助生活费2000元（一年按10个月计算，下同），学年绩点本年级前16%-30%每月补助生活费1000元，其他院校奖励补助生活费减半计发。对经批准继续就读全日制教育类研究生的定向委培生，参照在职教师学历提升政策给予深造资助，毕业履约后兑现并另外奖励10万元。在定向培养协议中明确违约责任，违约的定向生须退还补助金并缴纳违约赔偿金，并纳入信用评价体系。</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default"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第七条</w:t>
      </w:r>
      <w:r>
        <w:rPr>
          <w:rFonts w:hint="eastAsia" w:ascii="黑体" w:hAnsi="黑体" w:eastAsia="黑体" w:cs="黑体"/>
          <w:b w:val="0"/>
          <w:bCs w:val="0"/>
          <w:color w:val="auto"/>
          <w:sz w:val="32"/>
          <w:szCs w:val="32"/>
          <w:highlight w:val="none"/>
          <w:u w:val="none"/>
          <w:lang w:val="en-US" w:eastAsia="zh-CN"/>
        </w:rPr>
        <w:t xml:space="preserve">  推动名师名校长成长进阶。</w:t>
      </w:r>
      <w:r>
        <w:rPr>
          <w:rFonts w:hint="eastAsia" w:ascii="FangSong_GB2312" w:hAnsi="FangSong_GB2312" w:eastAsia="FangSong_GB2312" w:cs="FangSong_GB2312"/>
          <w:color w:val="auto"/>
          <w:sz w:val="32"/>
          <w:szCs w:val="32"/>
          <w:highlight w:val="none"/>
          <w:u w:val="none"/>
          <w:lang w:eastAsia="zh-CN"/>
        </w:rPr>
        <w:t>实施青年教师</w:t>
      </w:r>
      <w:r>
        <w:rPr>
          <w:rFonts w:hint="eastAsia" w:ascii="FangSong_GB2312" w:hAnsi="FangSong_GB2312" w:eastAsia="FangSong_GB2312" w:cs="FangSong_GB2312"/>
          <w:color w:val="auto"/>
          <w:sz w:val="32"/>
          <w:szCs w:val="32"/>
          <w:highlight w:val="none"/>
          <w:u w:val="none"/>
          <w:lang w:val="en-US" w:eastAsia="zh-CN"/>
        </w:rPr>
        <w:t>五年</w:t>
      </w:r>
      <w:r>
        <w:rPr>
          <w:rFonts w:hint="eastAsia" w:ascii="FangSong_GB2312" w:hAnsi="FangSong_GB2312" w:eastAsia="FangSong_GB2312" w:cs="FangSong_GB2312"/>
          <w:color w:val="auto"/>
          <w:sz w:val="32"/>
          <w:szCs w:val="32"/>
          <w:highlight w:val="none"/>
          <w:u w:val="none"/>
          <w:lang w:eastAsia="zh-CN"/>
        </w:rPr>
        <w:t>成长行动计划，</w:t>
      </w:r>
      <w:r>
        <w:rPr>
          <w:rFonts w:hint="eastAsia" w:ascii="仿宋" w:hAnsi="仿宋" w:eastAsia="仿宋" w:cs="仿宋"/>
          <w:b w:val="0"/>
          <w:bCs w:val="0"/>
          <w:color w:val="auto"/>
          <w:sz w:val="32"/>
          <w:szCs w:val="32"/>
          <w:highlight w:val="none"/>
          <w:u w:val="none"/>
          <w:lang w:val="en-US" w:eastAsia="zh-CN"/>
        </w:rPr>
        <w:t>以</w:t>
      </w:r>
      <w:r>
        <w:rPr>
          <w:rFonts w:hint="eastAsia" w:ascii="FangSong_GB2312" w:hAnsi="FangSong_GB2312" w:eastAsia="FangSong_GB2312" w:cs="FangSong_GB2312"/>
          <w:color w:val="auto"/>
          <w:sz w:val="32"/>
          <w:szCs w:val="32"/>
          <w:highlight w:val="none"/>
          <w:u w:val="none"/>
          <w:lang w:eastAsia="zh-CN"/>
        </w:rPr>
        <w:t>“学校培养为主，集中培养为辅，一年一度比武”为主要载体，搭建青年教师成长系列平台。</w:t>
      </w:r>
      <w:r>
        <w:rPr>
          <w:rFonts w:hint="eastAsia" w:ascii="FangSong_GB2312" w:hAnsi="FangSong_GB2312" w:eastAsia="FangSong_GB2312" w:cs="FangSong_GB2312"/>
          <w:b w:val="0"/>
          <w:bCs w:val="0"/>
          <w:color w:val="auto"/>
          <w:sz w:val="32"/>
          <w:szCs w:val="32"/>
          <w:highlight w:val="none"/>
          <w:u w:val="none"/>
          <w:lang w:val="en-US" w:eastAsia="zh-CN" w:bidi="ar-SA"/>
        </w:rPr>
        <w:t>深化</w:t>
      </w:r>
      <w:r>
        <w:rPr>
          <w:rFonts w:hint="eastAsia" w:ascii="FangSong_GB2312" w:hAnsi="FangSong_GB2312" w:eastAsia="FangSong_GB2312" w:cs="FangSong_GB2312"/>
          <w:color w:val="auto"/>
          <w:sz w:val="32"/>
          <w:szCs w:val="32"/>
          <w:highlight w:val="none"/>
          <w:u w:val="none"/>
          <w:lang w:val="en-US" w:eastAsia="zh-CN" w:bidi="ar-SA"/>
        </w:rPr>
        <w:t>教研员联系薄弱学校薄弱学科制度，</w:t>
      </w:r>
      <w:r>
        <w:rPr>
          <w:rFonts w:hint="eastAsia" w:ascii="FangSong_GB2312" w:hAnsi="FangSong_GB2312" w:eastAsia="FangSong_GB2312" w:cs="FangSong_GB2312"/>
          <w:color w:val="auto"/>
          <w:sz w:val="32"/>
          <w:szCs w:val="32"/>
          <w:highlight w:val="none"/>
          <w:u w:val="none"/>
        </w:rPr>
        <w:t>开展菜单式教研服务</w:t>
      </w:r>
      <w:r>
        <w:rPr>
          <w:rFonts w:hint="eastAsia" w:ascii="FangSong_GB2312" w:hAnsi="FangSong_GB2312" w:eastAsia="FangSong_GB2312" w:cs="FangSong_GB2312"/>
          <w:color w:val="auto"/>
          <w:sz w:val="32"/>
          <w:szCs w:val="32"/>
          <w:highlight w:val="none"/>
          <w:u w:val="none"/>
          <w:lang w:eastAsia="zh-CN"/>
        </w:rPr>
        <w:t>，</w:t>
      </w:r>
      <w:r>
        <w:rPr>
          <w:rFonts w:hint="eastAsia" w:ascii="FangSong_GB2312" w:hAnsi="FangSong_GB2312" w:eastAsia="FangSong_GB2312" w:cs="FangSong_GB2312"/>
          <w:color w:val="auto"/>
          <w:sz w:val="32"/>
          <w:szCs w:val="32"/>
          <w:highlight w:val="none"/>
          <w:u w:val="none"/>
          <w:lang w:val="en-US" w:eastAsia="zh-CN" w:bidi="ar-SA"/>
        </w:rPr>
        <w:t>完善教研考核机制，发挥</w:t>
      </w:r>
      <w:r>
        <w:rPr>
          <w:rFonts w:hint="eastAsia" w:ascii="FangSong_GB2312" w:hAnsi="FangSong_GB2312" w:eastAsia="FangSong_GB2312" w:cs="FangSong_GB2312"/>
          <w:b w:val="0"/>
          <w:bCs w:val="0"/>
          <w:color w:val="auto"/>
          <w:sz w:val="32"/>
          <w:szCs w:val="32"/>
          <w:highlight w:val="none"/>
          <w:u w:val="none"/>
          <w:lang w:val="en-US" w:eastAsia="zh-CN" w:bidi="ar-SA"/>
        </w:rPr>
        <w:t>教研员队伍</w:t>
      </w:r>
      <w:r>
        <w:rPr>
          <w:rFonts w:hint="eastAsia" w:ascii="FangSong_GB2312" w:hAnsi="FangSong_GB2312" w:eastAsia="FangSong_GB2312" w:cs="FangSong_GB2312"/>
          <w:b w:val="0"/>
          <w:bCs w:val="0"/>
          <w:i w:val="0"/>
          <w:caps w:val="0"/>
          <w:color w:val="auto"/>
          <w:spacing w:val="0"/>
          <w:sz w:val="32"/>
          <w:szCs w:val="32"/>
          <w:highlight w:val="none"/>
          <w:u w:val="none"/>
          <w:shd w:val="clear" w:fill="auto"/>
        </w:rPr>
        <w:t>领航</w:t>
      </w:r>
      <w:r>
        <w:rPr>
          <w:rFonts w:hint="eastAsia" w:ascii="FangSong_GB2312" w:hAnsi="FangSong_GB2312" w:eastAsia="FangSong_GB2312" w:cs="FangSong_GB2312"/>
          <w:b w:val="0"/>
          <w:bCs w:val="0"/>
          <w:i w:val="0"/>
          <w:caps w:val="0"/>
          <w:color w:val="auto"/>
          <w:spacing w:val="0"/>
          <w:sz w:val="32"/>
          <w:szCs w:val="32"/>
          <w:highlight w:val="none"/>
          <w:u w:val="none"/>
          <w:shd w:val="clear"/>
          <w:lang w:eastAsia="zh-CN"/>
        </w:rPr>
        <w:t>作用</w:t>
      </w:r>
      <w:r>
        <w:rPr>
          <w:rFonts w:hint="eastAsia" w:ascii="FangSong_GB2312" w:hAnsi="FangSong_GB2312" w:eastAsia="FangSong_GB2312" w:cs="FangSong_GB2312"/>
          <w:color w:val="auto"/>
          <w:sz w:val="32"/>
          <w:szCs w:val="32"/>
          <w:highlight w:val="none"/>
          <w:u w:val="none"/>
          <w:lang w:val="en-US" w:eastAsia="zh-CN" w:bidi="ar-SA"/>
        </w:rPr>
        <w:t>。</w:t>
      </w:r>
      <w:r>
        <w:rPr>
          <w:rFonts w:hint="eastAsia" w:ascii="仿宋" w:hAnsi="仿宋" w:eastAsia="仿宋" w:cs="仿宋"/>
          <w:b w:val="0"/>
          <w:bCs w:val="0"/>
          <w:color w:val="auto"/>
          <w:sz w:val="32"/>
          <w:szCs w:val="32"/>
          <w:highlight w:val="none"/>
          <w:u w:val="none"/>
          <w:lang w:val="en-US" w:eastAsia="zh-CN"/>
        </w:rPr>
        <w:t>建立名优骨干教师跟踪管理和培养机制，每期遴选70名名教师和名校长培养对象，制定三年培养计划，按每人每年2万元标准安排培养经费，并纳入财政预算保障。依托“山海协作”平台和省“希望之光”计划，选派优秀师资赴发达地区挂职交流，遴选骨干校长和优秀教师参加名校长结对导学和特级教师异地带徒行动。做大做强名师工作室，对名师工作室、班主任工作室、职业教育教学创新团队领衔人和“百千工程”大师，给予所在单位每年3万元科研经费津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eastAsia="zh-CN"/>
        </w:rPr>
        <w:t>第</w:t>
      </w:r>
      <w:r>
        <w:rPr>
          <w:rFonts w:hint="eastAsia" w:ascii="黑体" w:hAnsi="黑体" w:eastAsia="黑体" w:cs="黑体"/>
          <w:b w:val="0"/>
          <w:bCs w:val="0"/>
          <w:color w:val="auto"/>
          <w:sz w:val="32"/>
          <w:szCs w:val="32"/>
          <w:highlight w:val="none"/>
          <w:u w:val="none"/>
          <w:lang w:val="en-US" w:eastAsia="zh-CN"/>
        </w:rPr>
        <w:t>八条  做强学科创新团队。</w:t>
      </w:r>
      <w:r>
        <w:rPr>
          <w:rFonts w:hint="eastAsia" w:ascii="仿宋" w:hAnsi="仿宋" w:eastAsia="仿宋" w:cs="仿宋"/>
          <w:b w:val="0"/>
          <w:bCs w:val="0"/>
          <w:color w:val="auto"/>
          <w:sz w:val="32"/>
          <w:szCs w:val="32"/>
          <w:highlight w:val="none"/>
          <w:u w:val="none"/>
        </w:rPr>
        <w:t>加强学科教学（竞赛）创新团队建设，市财政每年安排专项经费予以奖励创新业绩突出的团队和教师。辅导学生在全国数学、物理、化学、生物、信息学奥林匹克竞赛中获</w:t>
      </w:r>
      <w:r>
        <w:rPr>
          <w:rFonts w:hint="eastAsia" w:ascii="仿宋" w:hAnsi="仿宋" w:eastAsia="仿宋" w:cs="仿宋"/>
          <w:b w:val="0"/>
          <w:bCs w:val="0"/>
          <w:color w:val="auto"/>
          <w:sz w:val="32"/>
          <w:szCs w:val="32"/>
          <w:highlight w:val="none"/>
          <w:u w:val="none"/>
          <w:lang w:eastAsia="zh-CN"/>
        </w:rPr>
        <w:t>奖牌</w:t>
      </w:r>
      <w:r>
        <w:rPr>
          <w:rFonts w:hint="eastAsia" w:ascii="仿宋" w:hAnsi="仿宋" w:eastAsia="仿宋" w:cs="仿宋"/>
          <w:b w:val="0"/>
          <w:bCs w:val="0"/>
          <w:color w:val="auto"/>
          <w:sz w:val="32"/>
          <w:szCs w:val="32"/>
          <w:highlight w:val="none"/>
          <w:u w:val="none"/>
        </w:rPr>
        <w:t>或在全国职业技能大赛中获得一等奖的主要指导师直接</w:t>
      </w:r>
      <w:r>
        <w:rPr>
          <w:rFonts w:hint="eastAsia" w:ascii="仿宋" w:hAnsi="仿宋" w:eastAsia="仿宋" w:cs="仿宋"/>
          <w:b w:val="0"/>
          <w:bCs w:val="0"/>
          <w:color w:val="auto"/>
          <w:sz w:val="32"/>
          <w:szCs w:val="32"/>
          <w:highlight w:val="none"/>
          <w:u w:val="none"/>
          <w:lang w:eastAsia="zh-CN"/>
        </w:rPr>
        <w:t>推荐</w:t>
      </w:r>
      <w:r>
        <w:rPr>
          <w:rFonts w:hint="eastAsia" w:ascii="仿宋" w:hAnsi="仿宋" w:eastAsia="仿宋" w:cs="仿宋"/>
          <w:b w:val="0"/>
          <w:bCs w:val="0"/>
          <w:color w:val="auto"/>
          <w:sz w:val="32"/>
          <w:szCs w:val="32"/>
          <w:highlight w:val="none"/>
          <w:u w:val="none"/>
        </w:rPr>
        <w:t>确认为</w:t>
      </w:r>
      <w:r>
        <w:rPr>
          <w:rFonts w:hint="eastAsia" w:ascii="仿宋" w:hAnsi="仿宋" w:eastAsia="仿宋" w:cs="仿宋"/>
          <w:b w:val="0"/>
          <w:bCs w:val="0"/>
          <w:color w:val="auto"/>
          <w:sz w:val="32"/>
          <w:szCs w:val="32"/>
          <w:highlight w:val="none"/>
          <w:u w:val="none"/>
          <w:lang w:eastAsia="zh-CN"/>
        </w:rPr>
        <w:t>丽水</w:t>
      </w:r>
      <w:r>
        <w:rPr>
          <w:rFonts w:hint="eastAsia" w:ascii="仿宋" w:hAnsi="仿宋" w:eastAsia="仿宋" w:cs="仿宋"/>
          <w:b w:val="0"/>
          <w:bCs w:val="0"/>
          <w:color w:val="auto"/>
          <w:sz w:val="32"/>
          <w:szCs w:val="32"/>
          <w:highlight w:val="none"/>
          <w:u w:val="none"/>
        </w:rPr>
        <w:t>市教育精英</w:t>
      </w:r>
      <w:r>
        <w:rPr>
          <w:rFonts w:hint="eastAsia" w:ascii="仿宋" w:hAnsi="仿宋" w:eastAsia="仿宋" w:cs="仿宋"/>
          <w:b w:val="0"/>
          <w:bCs w:val="0"/>
          <w:color w:val="auto"/>
          <w:sz w:val="32"/>
          <w:szCs w:val="32"/>
          <w:highlight w:val="none"/>
          <w:u w:val="none"/>
          <w:lang w:eastAsia="zh-CN"/>
        </w:rPr>
        <w:t>；团队按获奖人次（团队参赛获奖的以团队计，下同）给予奖励，五大竞赛金牌</w:t>
      </w: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lang w:eastAsia="zh-CN"/>
        </w:rPr>
        <w:t>0万元、银牌</w:t>
      </w:r>
      <w:r>
        <w:rPr>
          <w:rFonts w:hint="eastAsia" w:ascii="仿宋" w:hAnsi="仿宋" w:eastAsia="仿宋" w:cs="仿宋"/>
          <w:b w:val="0"/>
          <w:bCs w:val="0"/>
          <w:color w:val="auto"/>
          <w:sz w:val="32"/>
          <w:szCs w:val="32"/>
          <w:highlight w:val="none"/>
          <w:u w:val="none"/>
          <w:lang w:val="en-US" w:eastAsia="zh-CN"/>
        </w:rPr>
        <w:t>20</w:t>
      </w:r>
      <w:r>
        <w:rPr>
          <w:rFonts w:hint="eastAsia" w:ascii="仿宋" w:hAnsi="仿宋" w:eastAsia="仿宋" w:cs="仿宋"/>
          <w:b w:val="0"/>
          <w:bCs w:val="0"/>
          <w:color w:val="auto"/>
          <w:sz w:val="32"/>
          <w:szCs w:val="32"/>
          <w:highlight w:val="none"/>
          <w:u w:val="none"/>
          <w:lang w:eastAsia="zh-CN"/>
        </w:rPr>
        <w:t>万元、铜牌10万元，获五大竞赛省级赛区复赛一等奖</w:t>
      </w:r>
      <w:r>
        <w:rPr>
          <w:rFonts w:hint="eastAsia" w:ascii="仿宋" w:hAnsi="仿宋" w:eastAsia="仿宋" w:cs="仿宋"/>
          <w:b w:val="0"/>
          <w:bCs w:val="0"/>
          <w:color w:val="auto"/>
          <w:sz w:val="32"/>
          <w:szCs w:val="32"/>
          <w:highlight w:val="none"/>
          <w:u w:val="none"/>
          <w:lang w:val="en-US" w:eastAsia="zh-CN"/>
        </w:rPr>
        <w:t>5万元</w:t>
      </w:r>
      <w:r>
        <w:rPr>
          <w:rFonts w:hint="eastAsia" w:ascii="仿宋" w:hAnsi="仿宋" w:eastAsia="仿宋" w:cs="仿宋"/>
          <w:b w:val="0"/>
          <w:bCs w:val="0"/>
          <w:color w:val="auto"/>
          <w:sz w:val="32"/>
          <w:szCs w:val="32"/>
          <w:highlight w:val="none"/>
          <w:u w:val="none"/>
          <w:lang w:eastAsia="zh-CN"/>
        </w:rPr>
        <w:t>，获</w:t>
      </w:r>
      <w:r>
        <w:rPr>
          <w:rFonts w:hint="eastAsia" w:ascii="仿宋" w:hAnsi="仿宋" w:eastAsia="仿宋" w:cs="仿宋"/>
          <w:b w:val="0"/>
          <w:bCs w:val="0"/>
          <w:color w:val="auto"/>
          <w:sz w:val="32"/>
          <w:szCs w:val="32"/>
          <w:highlight w:val="none"/>
          <w:u w:val="none"/>
          <w:lang w:val="en-US" w:eastAsia="zh-CN"/>
        </w:rPr>
        <w:t>二</w:t>
      </w:r>
      <w:r>
        <w:rPr>
          <w:rFonts w:hint="eastAsia" w:ascii="仿宋" w:hAnsi="仿宋" w:eastAsia="仿宋" w:cs="仿宋"/>
          <w:b w:val="0"/>
          <w:bCs w:val="0"/>
          <w:color w:val="auto"/>
          <w:sz w:val="32"/>
          <w:szCs w:val="32"/>
          <w:highlight w:val="none"/>
          <w:u w:val="none"/>
          <w:lang w:eastAsia="zh-CN"/>
        </w:rPr>
        <w:t>等奖</w:t>
      </w: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lang w:eastAsia="zh-CN"/>
        </w:rPr>
        <w:t>万元。辅导学生在全国职业技能大赛中获得一等奖奖励</w:t>
      </w:r>
      <w:r>
        <w:rPr>
          <w:rFonts w:hint="eastAsia" w:ascii="仿宋" w:hAnsi="仿宋" w:eastAsia="仿宋" w:cs="仿宋"/>
          <w:b w:val="0"/>
          <w:bCs w:val="0"/>
          <w:color w:val="auto"/>
          <w:sz w:val="32"/>
          <w:szCs w:val="32"/>
          <w:highlight w:val="none"/>
          <w:u w:val="none"/>
          <w:lang w:val="en-US" w:eastAsia="zh-CN"/>
        </w:rPr>
        <w:t>30万元、二等奖10万元、三等奖5万元，获</w:t>
      </w:r>
      <w:r>
        <w:rPr>
          <w:rFonts w:hint="eastAsia" w:ascii="仿宋" w:hAnsi="仿宋" w:eastAsia="仿宋" w:cs="仿宋"/>
          <w:b w:val="0"/>
          <w:bCs w:val="0"/>
          <w:color w:val="auto"/>
          <w:sz w:val="32"/>
          <w:szCs w:val="32"/>
          <w:highlight w:val="none"/>
          <w:u w:val="none"/>
          <w:lang w:eastAsia="zh-CN"/>
        </w:rPr>
        <w:t>全省职业技能大赛一等奖</w:t>
      </w: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lang w:eastAsia="zh-CN"/>
        </w:rPr>
        <w:t>万元，二等奖</w:t>
      </w:r>
      <w:r>
        <w:rPr>
          <w:rFonts w:hint="eastAsia" w:ascii="仿宋" w:hAnsi="仿宋" w:eastAsia="仿宋" w:cs="仿宋"/>
          <w:b w:val="0"/>
          <w:bCs w:val="0"/>
          <w:color w:val="auto"/>
          <w:sz w:val="32"/>
          <w:szCs w:val="32"/>
          <w:highlight w:val="none"/>
          <w:u w:val="none"/>
          <w:lang w:val="en-US" w:eastAsia="zh-CN"/>
        </w:rPr>
        <w:t>2万元。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第九条  加大各类教育人才奖励力度。</w:t>
      </w:r>
      <w:r>
        <w:rPr>
          <w:rFonts w:hint="eastAsia" w:ascii="仿宋" w:hAnsi="仿宋" w:eastAsia="仿宋" w:cs="仿宋"/>
          <w:b w:val="0"/>
          <w:bCs w:val="0"/>
          <w:color w:val="auto"/>
          <w:sz w:val="32"/>
          <w:szCs w:val="32"/>
          <w:highlight w:val="none"/>
          <w:u w:val="none"/>
          <w:lang w:val="en-US" w:eastAsia="zh-CN"/>
        </w:rPr>
        <w:t>每年选树一批师德高尚、业务突出的市级优秀教师、优秀校长、优秀班主任、优秀教育工作者和农村教师突出贡献者。每三年选树一批在教书育人工作中取得杰出成绩的教育业绩突出贡献教师，给予一次性2万元奖励。</w:t>
      </w:r>
      <w:r>
        <w:rPr>
          <w:rFonts w:hint="eastAsia" w:ascii="仿宋" w:hAnsi="仿宋" w:eastAsia="仿宋" w:cs="仿宋"/>
          <w:b w:val="0"/>
          <w:bCs w:val="0"/>
          <w:color w:val="auto"/>
          <w:sz w:val="32"/>
          <w:szCs w:val="32"/>
          <w:highlight w:val="none"/>
          <w:u w:val="none"/>
          <w:lang w:eastAsia="zh-CN"/>
        </w:rPr>
        <w:t>对评上特级教师荣誉的在职教师，给予一次性</w:t>
      </w:r>
      <w:r>
        <w:rPr>
          <w:rFonts w:hint="eastAsia" w:ascii="仿宋" w:hAnsi="仿宋" w:eastAsia="仿宋" w:cs="仿宋"/>
          <w:b w:val="0"/>
          <w:bCs w:val="0"/>
          <w:color w:val="auto"/>
          <w:sz w:val="32"/>
          <w:szCs w:val="32"/>
          <w:highlight w:val="none"/>
          <w:u w:val="none"/>
          <w:lang w:val="en-US" w:eastAsia="zh-CN"/>
        </w:rPr>
        <w:t>10万元奖励；对</w:t>
      </w:r>
      <w:r>
        <w:rPr>
          <w:rFonts w:hint="eastAsia" w:ascii="仿宋" w:hAnsi="仿宋" w:eastAsia="仿宋" w:cs="仿宋"/>
          <w:b w:val="0"/>
          <w:bCs w:val="0"/>
          <w:color w:val="auto"/>
          <w:sz w:val="32"/>
          <w:szCs w:val="32"/>
          <w:highlight w:val="none"/>
          <w:u w:val="none"/>
          <w:lang w:eastAsia="zh-CN"/>
        </w:rPr>
        <w:t>辐射引领作用明显的</w:t>
      </w:r>
      <w:r>
        <w:rPr>
          <w:rFonts w:hint="eastAsia" w:ascii="仿宋" w:hAnsi="仿宋" w:eastAsia="仿宋" w:cs="仿宋"/>
          <w:b w:val="0"/>
          <w:bCs w:val="0"/>
          <w:color w:val="auto"/>
          <w:sz w:val="32"/>
          <w:szCs w:val="32"/>
          <w:highlight w:val="none"/>
          <w:u w:val="none"/>
        </w:rPr>
        <w:t>特级教师</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正高级</w:t>
      </w:r>
      <w:r>
        <w:rPr>
          <w:rFonts w:hint="eastAsia" w:ascii="仿宋" w:hAnsi="仿宋" w:eastAsia="仿宋" w:cs="仿宋"/>
          <w:b w:val="0"/>
          <w:bCs w:val="0"/>
          <w:color w:val="auto"/>
          <w:sz w:val="32"/>
          <w:szCs w:val="32"/>
          <w:highlight w:val="none"/>
          <w:u w:val="none"/>
          <w:lang w:eastAsia="zh-CN"/>
        </w:rPr>
        <w:t>教师、教育精英（教育名家）</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经考核合格分别给予每年</w:t>
      </w:r>
      <w:r>
        <w:rPr>
          <w:rFonts w:hint="eastAsia" w:ascii="仿宋" w:hAnsi="仿宋" w:eastAsia="仿宋" w:cs="仿宋"/>
          <w:b w:val="0"/>
          <w:bCs w:val="0"/>
          <w:color w:val="auto"/>
          <w:sz w:val="32"/>
          <w:szCs w:val="32"/>
          <w:highlight w:val="none"/>
          <w:u w:val="none"/>
          <w:lang w:val="en-US" w:eastAsia="zh-CN"/>
        </w:rPr>
        <w:t>10万元、7万元、4万元“领雁”奖励，考核结果前30%为优秀，另加3万元奖励；给予丽水市教学名师（德育名师）每月2000元的人才奖励。建立星级班主任评定制度和荣誉班主任激励机制，结合班主任任职年限和工作绩效，每年评选星级班主任和功勋班主任，给予专项荣誉奖励。将幼儿园班主任纳入财政保障范畴，给予人均每月300元补贴。对在职教师参加丽水市级及以上的教学活动评审（含音体美基本功比赛、心理健康教育技能大赛、中小学道德与法治综合能力比赛）、班主任基本功大赛、丽水市幼儿园教师技能大赛获奖的，分别按相应等次予以相应奖励（单位：万元），比赛须层层选拔并逐级推荐，年度内同类别比赛以最高等次计。</w:t>
      </w:r>
    </w:p>
    <w:tbl>
      <w:tblPr>
        <w:tblStyle w:val="4"/>
        <w:tblW w:w="10200"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78"/>
        <w:gridCol w:w="735"/>
        <w:gridCol w:w="690"/>
        <w:gridCol w:w="1110"/>
        <w:gridCol w:w="1020"/>
        <w:gridCol w:w="652"/>
        <w:gridCol w:w="645"/>
        <w:gridCol w:w="690"/>
        <w:gridCol w:w="1290"/>
        <w:gridCol w:w="69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12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教学评审活动</w:t>
            </w:r>
          </w:p>
        </w:tc>
        <w:tc>
          <w:tcPr>
            <w:tcW w:w="540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班主任基本功大赛</w:t>
            </w:r>
          </w:p>
        </w:tc>
        <w:tc>
          <w:tcPr>
            <w:tcW w:w="166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幼儿教师技能大赛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全国二等奖及以上</w:t>
            </w:r>
          </w:p>
        </w:tc>
        <w:tc>
          <w:tcPr>
            <w:tcW w:w="87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全国三等奖、省一等奖</w:t>
            </w:r>
          </w:p>
        </w:tc>
        <w:tc>
          <w:tcPr>
            <w:tcW w:w="73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省二等奖</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丽水市一等奖</w:t>
            </w:r>
          </w:p>
        </w:tc>
        <w:tc>
          <w:tcPr>
            <w:tcW w:w="11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长三角地区二等奖及以上</w:t>
            </w:r>
          </w:p>
        </w:tc>
        <w:tc>
          <w:tcPr>
            <w:tcW w:w="102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长三角三等奖、省一等奖</w:t>
            </w:r>
          </w:p>
        </w:tc>
        <w:tc>
          <w:tcPr>
            <w:tcW w:w="65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省二等奖</w:t>
            </w:r>
          </w:p>
        </w:tc>
        <w:tc>
          <w:tcPr>
            <w:tcW w:w="6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省三等奖</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丽水市一等奖</w:t>
            </w:r>
          </w:p>
        </w:tc>
        <w:tc>
          <w:tcPr>
            <w:tcW w:w="129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主要指导教师（长三角地区二等奖及省一等奖以上，每人）</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一等奖</w:t>
            </w: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团队一等奖（奖励团队）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25"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4</w:t>
            </w:r>
          </w:p>
        </w:tc>
        <w:tc>
          <w:tcPr>
            <w:tcW w:w="878"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3</w:t>
            </w:r>
          </w:p>
        </w:tc>
        <w:tc>
          <w:tcPr>
            <w:tcW w:w="735"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2</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0.5</w:t>
            </w:r>
          </w:p>
        </w:tc>
        <w:tc>
          <w:tcPr>
            <w:tcW w:w="111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4</w:t>
            </w:r>
          </w:p>
        </w:tc>
        <w:tc>
          <w:tcPr>
            <w:tcW w:w="102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3</w:t>
            </w:r>
          </w:p>
        </w:tc>
        <w:tc>
          <w:tcPr>
            <w:tcW w:w="652"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2</w:t>
            </w:r>
          </w:p>
        </w:tc>
        <w:tc>
          <w:tcPr>
            <w:tcW w:w="645"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1</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0.5</w:t>
            </w:r>
          </w:p>
        </w:tc>
        <w:tc>
          <w:tcPr>
            <w:tcW w:w="129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eastAsia"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0.5</w:t>
            </w:r>
          </w:p>
        </w:tc>
        <w:tc>
          <w:tcPr>
            <w:tcW w:w="690"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0.5</w:t>
            </w:r>
          </w:p>
        </w:tc>
        <w:tc>
          <w:tcPr>
            <w:tcW w:w="975" w:type="dxa"/>
            <w:vAlign w:val="top"/>
          </w:tcPr>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仿宋" w:hAnsi="仿宋" w:eastAsia="仿宋" w:cs="仿宋"/>
                <w:color w:val="auto"/>
                <w:sz w:val="20"/>
                <w:szCs w:val="20"/>
                <w:highlight w:val="none"/>
                <w:u w:val="none"/>
                <w:lang w:val="en-US" w:eastAsia="zh-CN"/>
              </w:rPr>
            </w:pPr>
            <w:r>
              <w:rPr>
                <w:rFonts w:hint="eastAsia" w:ascii="仿宋" w:hAnsi="仿宋" w:eastAsia="仿宋" w:cs="仿宋"/>
                <w:color w:val="auto"/>
                <w:sz w:val="20"/>
                <w:szCs w:val="20"/>
                <w:highlight w:val="none"/>
                <w:u w:val="none"/>
                <w:lang w:val="en-US" w:eastAsia="zh-CN"/>
              </w:rPr>
              <w:t>2</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cs="仿宋"/>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第</w:t>
      </w:r>
      <w:r>
        <w:rPr>
          <w:rFonts w:hint="eastAsia" w:ascii="黑体" w:hAnsi="黑体" w:eastAsia="黑体" w:cs="黑体"/>
          <w:b w:val="0"/>
          <w:bCs w:val="0"/>
          <w:color w:val="auto"/>
          <w:sz w:val="32"/>
          <w:szCs w:val="32"/>
          <w:highlight w:val="none"/>
          <w:u w:val="none"/>
          <w:lang w:eastAsia="zh-CN"/>
        </w:rPr>
        <w:t>十</w:t>
      </w:r>
      <w:r>
        <w:rPr>
          <w:rFonts w:hint="eastAsia" w:ascii="黑体" w:hAnsi="黑体" w:eastAsia="黑体" w:cs="黑体"/>
          <w:b w:val="0"/>
          <w:bCs w:val="0"/>
          <w:color w:val="auto"/>
          <w:sz w:val="32"/>
          <w:szCs w:val="32"/>
          <w:highlight w:val="none"/>
          <w:u w:val="none"/>
        </w:rPr>
        <w:t xml:space="preserve">条 </w:t>
      </w:r>
      <w:r>
        <w:rPr>
          <w:rFonts w:hint="eastAsia" w:ascii="黑体" w:hAnsi="黑体" w:eastAsia="黑体" w:cs="黑体"/>
          <w:b w:val="0"/>
          <w:bCs w:val="0"/>
          <w:color w:val="auto"/>
          <w:sz w:val="32"/>
          <w:szCs w:val="32"/>
          <w:highlight w:val="none"/>
          <w:u w:val="none"/>
          <w:lang w:eastAsia="zh-CN"/>
        </w:rPr>
        <w:t>加强组织领导。</w:t>
      </w:r>
      <w:r>
        <w:rPr>
          <w:rFonts w:hint="eastAsia" w:ascii="仿宋" w:hAnsi="仿宋" w:eastAsia="仿宋" w:cs="仿宋"/>
          <w:b w:val="0"/>
          <w:bCs w:val="0"/>
          <w:color w:val="auto"/>
          <w:sz w:val="32"/>
          <w:szCs w:val="32"/>
          <w:highlight w:val="none"/>
          <w:u w:val="none"/>
          <w:lang w:eastAsia="zh-CN"/>
        </w:rPr>
        <w:t>由市委教育工作领导小组统筹推进教育</w:t>
      </w:r>
      <w:r>
        <w:rPr>
          <w:rFonts w:hint="eastAsia" w:ascii="仿宋" w:hAnsi="仿宋" w:eastAsia="仿宋" w:cs="仿宋"/>
          <w:b w:val="0"/>
          <w:bCs w:val="0"/>
          <w:color w:val="auto"/>
          <w:sz w:val="32"/>
          <w:szCs w:val="32"/>
          <w:highlight w:val="none"/>
          <w:u w:val="none"/>
        </w:rPr>
        <w:t>人才队伍</w:t>
      </w:r>
      <w:r>
        <w:rPr>
          <w:rFonts w:hint="eastAsia" w:ascii="仿宋" w:hAnsi="仿宋" w:eastAsia="仿宋" w:cs="仿宋"/>
          <w:b w:val="0"/>
          <w:bCs w:val="0"/>
          <w:color w:val="auto"/>
          <w:sz w:val="32"/>
          <w:szCs w:val="32"/>
          <w:highlight w:val="none"/>
          <w:u w:val="none"/>
          <w:lang w:eastAsia="zh-CN"/>
        </w:rPr>
        <w:t>引进培育振兴工作，</w:t>
      </w:r>
      <w:r>
        <w:rPr>
          <w:rFonts w:hint="eastAsia" w:ascii="仿宋" w:hAnsi="仿宋" w:eastAsia="仿宋" w:cs="仿宋"/>
          <w:b w:val="0"/>
          <w:bCs w:val="0"/>
          <w:color w:val="auto"/>
          <w:sz w:val="32"/>
          <w:szCs w:val="32"/>
          <w:highlight w:val="none"/>
          <w:u w:val="none"/>
          <w:lang w:eastAsia="zh-CN"/>
        </w:rPr>
        <w:t>市委组织部（人才办）、市委编办、市人力社保局、市财政局、市教育局等部门负责</w:t>
      </w:r>
      <w:r>
        <w:rPr>
          <w:rFonts w:hint="eastAsia" w:ascii="仿宋" w:hAnsi="仿宋" w:eastAsia="仿宋" w:cs="仿宋"/>
          <w:b w:val="0"/>
          <w:bCs w:val="0"/>
          <w:color w:val="auto"/>
          <w:sz w:val="32"/>
          <w:szCs w:val="32"/>
          <w:highlight w:val="none"/>
          <w:u w:val="none"/>
        </w:rPr>
        <w:t>引进计划审定、工作统筹和政策落实等，协调解决教育人才队伍建设工作中的重大问题。</w:t>
      </w:r>
      <w:r>
        <w:rPr>
          <w:rFonts w:hint="eastAsia" w:ascii="仿宋" w:hAnsi="仿宋" w:eastAsia="仿宋" w:cs="仿宋"/>
          <w:b w:val="0"/>
          <w:bCs w:val="0"/>
          <w:color w:val="auto"/>
          <w:sz w:val="32"/>
          <w:szCs w:val="32"/>
          <w:highlight w:val="none"/>
          <w:u w:val="none"/>
          <w:lang w:eastAsia="zh-CN"/>
        </w:rPr>
        <w:t>上述教育人才队伍建设</w:t>
      </w:r>
      <w:r>
        <w:rPr>
          <w:rFonts w:hint="eastAsia" w:ascii="仿宋" w:hAnsi="仿宋" w:eastAsia="仿宋" w:cs="仿宋"/>
          <w:b w:val="0"/>
          <w:bCs w:val="0"/>
          <w:color w:val="auto"/>
          <w:sz w:val="32"/>
          <w:szCs w:val="32"/>
          <w:highlight w:val="none"/>
          <w:u w:val="none"/>
        </w:rPr>
        <w:t>所需经费由市财政全额保障。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rPr>
        <w:t>本计划自</w:t>
      </w:r>
      <w:r>
        <w:rPr>
          <w:rFonts w:hint="eastAsia" w:ascii="仿宋" w:hAnsi="仿宋" w:eastAsia="仿宋" w:cs="仿宋"/>
          <w:b w:val="0"/>
          <w:bCs w:val="0"/>
          <w:color w:val="auto"/>
          <w:sz w:val="32"/>
          <w:szCs w:val="32"/>
          <w:highlight w:val="none"/>
          <w:u w:val="none"/>
          <w:lang w:val="en-US" w:eastAsia="zh-CN"/>
        </w:rPr>
        <w:t>2022年1月1日</w:t>
      </w:r>
      <w:r>
        <w:rPr>
          <w:rFonts w:hint="eastAsia" w:ascii="仿宋" w:hAnsi="仿宋" w:eastAsia="仿宋" w:cs="仿宋"/>
          <w:b w:val="0"/>
          <w:bCs w:val="0"/>
          <w:color w:val="auto"/>
          <w:sz w:val="32"/>
          <w:szCs w:val="32"/>
          <w:highlight w:val="none"/>
          <w:u w:val="none"/>
        </w:rPr>
        <w:t>起</w:t>
      </w:r>
      <w:r>
        <w:rPr>
          <w:rFonts w:hint="eastAsia" w:ascii="仿宋" w:hAnsi="仿宋" w:eastAsia="仿宋" w:cs="仿宋"/>
          <w:b w:val="0"/>
          <w:bCs w:val="0"/>
          <w:color w:val="auto"/>
          <w:sz w:val="32"/>
          <w:szCs w:val="32"/>
          <w:highlight w:val="none"/>
          <w:u w:val="none"/>
          <w:lang w:eastAsia="zh-CN"/>
        </w:rPr>
        <w:t>实施</w:t>
      </w:r>
      <w:r>
        <w:rPr>
          <w:rFonts w:hint="eastAsia" w:ascii="仿宋" w:hAnsi="仿宋" w:eastAsia="仿宋" w:cs="仿宋"/>
          <w:b w:val="0"/>
          <w:bCs w:val="0"/>
          <w:color w:val="auto"/>
          <w:sz w:val="32"/>
          <w:szCs w:val="32"/>
          <w:highlight w:val="none"/>
          <w:u w:val="none"/>
        </w:rPr>
        <w:t>。同一人获多项人才荣誉、奖励待遇的，按照“</w:t>
      </w:r>
      <w:r>
        <w:rPr>
          <w:rFonts w:hint="eastAsia" w:ascii="仿宋" w:hAnsi="仿宋" w:eastAsia="仿宋" w:cs="仿宋"/>
          <w:b w:val="0"/>
          <w:bCs w:val="0"/>
          <w:color w:val="auto"/>
          <w:sz w:val="32"/>
          <w:szCs w:val="32"/>
          <w:highlight w:val="none"/>
          <w:u w:val="none"/>
          <w:lang w:eastAsia="zh-CN"/>
        </w:rPr>
        <w:t>同类荣誉</w:t>
      </w:r>
      <w:r>
        <w:rPr>
          <w:rFonts w:hint="eastAsia" w:ascii="仿宋" w:hAnsi="仿宋" w:eastAsia="仿宋" w:cs="仿宋"/>
          <w:b w:val="0"/>
          <w:bCs w:val="0"/>
          <w:color w:val="auto"/>
          <w:sz w:val="32"/>
          <w:szCs w:val="32"/>
          <w:highlight w:val="none"/>
          <w:u w:val="none"/>
        </w:rPr>
        <w:t>就高、不重复”的原则执行。此前文件规定与本政策规定不一致的，按本政策执行。本政策规定奖励与龙泉市人才政策不重复享受</w:t>
      </w:r>
      <w:r>
        <w:rPr>
          <w:rFonts w:hint="eastAsia" w:ascii="仿宋" w:hAnsi="仿宋" w:eastAsia="仿宋" w:cs="仿宋"/>
          <w:b w:val="0"/>
          <w:bCs w:val="0"/>
          <w:color w:val="auto"/>
          <w:sz w:val="32"/>
          <w:szCs w:val="32"/>
          <w:highlight w:val="none"/>
          <w:u w:val="none"/>
          <w:lang w:eastAsia="zh-CN"/>
        </w:rPr>
        <w:t>，由市委组织部（人才办）和教育局负责解释。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附件：教育人才引进类别</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附表：教育人才引进培育振兴十条政策资金测算（每年）</w:t>
      </w:r>
    </w:p>
    <w:p>
      <w:pPr>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pStyle w:val="2"/>
        <w:rPr>
          <w:rFonts w:hint="eastAsia" w:ascii="仿宋" w:hAnsi="仿宋" w:eastAsia="仿宋" w:cs="仿宋"/>
          <w:b w:val="0"/>
          <w:bCs w:val="0"/>
          <w:color w:val="auto"/>
          <w:sz w:val="32"/>
          <w:szCs w:val="32"/>
          <w:highlight w:val="none"/>
          <w:u w:val="none"/>
          <w:lang w:eastAsia="zh-CN"/>
        </w:rPr>
      </w:pPr>
    </w:p>
    <w:p>
      <w:pPr>
        <w:rPr>
          <w:rFonts w:hint="eastAsia" w:ascii="仿宋" w:hAnsi="仿宋" w:eastAsia="仿宋" w:cs="仿宋"/>
          <w:b w:val="0"/>
          <w:bCs w:val="0"/>
          <w:color w:val="auto"/>
          <w:sz w:val="32"/>
          <w:szCs w:val="32"/>
          <w:highlight w:val="none"/>
          <w:u w:val="none"/>
          <w:lang w:eastAsia="zh-CN"/>
        </w:rPr>
      </w:pPr>
    </w:p>
    <w:p>
      <w:pPr>
        <w:pStyle w:val="2"/>
        <w:rPr>
          <w:rFonts w:hint="eastAsia" w:ascii="仿宋" w:hAnsi="仿宋" w:eastAsia="仿宋" w:cs="仿宋"/>
          <w:b w:val="0"/>
          <w:bCs w:val="0"/>
          <w:color w:val="auto"/>
          <w:sz w:val="32"/>
          <w:szCs w:val="32"/>
          <w:highlight w:val="none"/>
          <w:u w:val="none"/>
          <w:lang w:eastAsia="zh-CN"/>
        </w:rPr>
      </w:pPr>
    </w:p>
    <w:p>
      <w:pPr>
        <w:rPr>
          <w:rFonts w:hint="eastAsia" w:ascii="仿宋" w:hAnsi="仿宋" w:eastAsia="仿宋" w:cs="仿宋"/>
          <w:b w:val="0"/>
          <w:bCs w:val="0"/>
          <w:color w:val="auto"/>
          <w:sz w:val="32"/>
          <w:szCs w:val="32"/>
          <w:highlight w:val="none"/>
          <w:u w:val="none"/>
          <w:lang w:eastAsia="zh-CN"/>
        </w:rPr>
      </w:pPr>
    </w:p>
    <w:p>
      <w:pPr>
        <w:pStyle w:val="2"/>
        <w:rPr>
          <w:rFonts w:hint="eastAsia"/>
          <w:highlight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b w:val="0"/>
          <w:bCs w:val="0"/>
          <w:color w:val="auto"/>
          <w:sz w:val="32"/>
          <w:szCs w:val="32"/>
          <w:highlight w:val="none"/>
          <w:u w:val="none"/>
          <w:lang w:eastAsia="zh-CN"/>
        </w:rPr>
      </w:pPr>
    </w:p>
    <w:p>
      <w:pPr>
        <w:spacing w:line="500" w:lineRule="exact"/>
        <w:rPr>
          <w:rFonts w:hint="eastAsia" w:ascii="仿宋" w:hAnsi="仿宋" w:eastAsia="仿宋" w:cs="仿宋"/>
          <w:color w:val="auto"/>
          <w:sz w:val="32"/>
          <w:szCs w:val="32"/>
          <w:highlight w:val="none"/>
          <w:u w:val="none"/>
          <w:lang w:val="en-US"/>
        </w:rPr>
      </w:pPr>
      <w:r>
        <w:rPr>
          <w:rFonts w:hint="eastAsia" w:ascii="仿宋" w:hAnsi="仿宋" w:eastAsia="仿宋" w:cs="仿宋"/>
          <w:b w:val="0"/>
          <w:bCs w:val="0"/>
          <w:color w:val="auto"/>
          <w:sz w:val="32"/>
          <w:szCs w:val="32"/>
          <w:highlight w:val="none"/>
          <w:u w:val="none"/>
          <w:lang w:eastAsia="zh-CN"/>
        </w:rPr>
        <w:t>附件</w:t>
      </w:r>
    </w:p>
    <w:p>
      <w:pPr>
        <w:spacing w:line="500" w:lineRule="exact"/>
        <w:rPr>
          <w:rFonts w:ascii="仿宋_GB2312" w:eastAsia="仿宋_GB2312"/>
          <w:color w:val="auto"/>
          <w:sz w:val="28"/>
          <w:szCs w:val="28"/>
          <w:highlight w:val="none"/>
          <w:u w:val="none"/>
        </w:rPr>
      </w:pPr>
    </w:p>
    <w:p>
      <w:pPr>
        <w:spacing w:line="500" w:lineRule="exact"/>
        <w:jc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教育人才引进类别</w:t>
      </w:r>
    </w:p>
    <w:p>
      <w:pPr>
        <w:spacing w:line="500" w:lineRule="exact"/>
        <w:ind w:firstLine="560" w:firstLineChars="200"/>
        <w:rPr>
          <w:rFonts w:ascii="黑体" w:hAnsi="黑体" w:eastAsia="黑体" w:cs="黑体"/>
          <w:color w:val="auto"/>
          <w:sz w:val="28"/>
          <w:szCs w:val="28"/>
          <w:highlight w:val="none"/>
          <w:u w:val="none"/>
        </w:rPr>
      </w:pPr>
    </w:p>
    <w:p>
      <w:pPr>
        <w:widowControl w:val="0"/>
        <w:wordWrap/>
        <w:adjustRightInd w:val="0"/>
        <w:snapToGrid w:val="0"/>
        <w:spacing w:line="58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一、高端教育人才（即一、二、三类人才）。</w:t>
      </w:r>
    </w:p>
    <w:p>
      <w:pPr>
        <w:widowControl w:val="0"/>
        <w:wordWrap/>
        <w:adjustRightInd w:val="0"/>
        <w:snapToGrid w:val="0"/>
        <w:spacing w:line="580"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一类人才：</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1.</w:t>
      </w:r>
      <w:r>
        <w:rPr>
          <w:rFonts w:hint="eastAsia" w:ascii="仿宋" w:hAnsi="仿宋" w:eastAsia="仿宋" w:cs="仿宋"/>
          <w:b w:val="0"/>
          <w:bCs w:val="0"/>
          <w:color w:val="auto"/>
          <w:sz w:val="32"/>
          <w:szCs w:val="32"/>
          <w:highlight w:val="none"/>
          <w:u w:val="none"/>
        </w:rPr>
        <w:t>具有</w:t>
      </w:r>
      <w:r>
        <w:rPr>
          <w:rFonts w:hint="eastAsia" w:ascii="仿宋" w:hAnsi="仿宋" w:eastAsia="仿宋" w:cs="仿宋"/>
          <w:b w:val="0"/>
          <w:bCs w:val="0"/>
          <w:color w:val="auto"/>
          <w:sz w:val="32"/>
          <w:szCs w:val="32"/>
          <w:highlight w:val="none"/>
          <w:u w:val="none"/>
          <w:lang w:eastAsia="zh-CN"/>
        </w:rPr>
        <w:t>浙江省特级教师荣誉且是正高级职称的</w:t>
      </w:r>
      <w:r>
        <w:rPr>
          <w:rFonts w:hint="eastAsia" w:ascii="仿宋" w:hAnsi="仿宋" w:eastAsia="仿宋" w:cs="仿宋"/>
          <w:b w:val="0"/>
          <w:bCs w:val="0"/>
          <w:color w:val="auto"/>
          <w:sz w:val="32"/>
          <w:szCs w:val="32"/>
          <w:highlight w:val="none"/>
          <w:u w:val="none"/>
        </w:rPr>
        <w:t>在职教师</w:t>
      </w:r>
      <w:r>
        <w:rPr>
          <w:rFonts w:hint="eastAsia" w:ascii="仿宋" w:hAnsi="仿宋" w:eastAsia="仿宋" w:cs="仿宋"/>
          <w:b w:val="0"/>
          <w:bCs w:val="0"/>
          <w:color w:val="auto"/>
          <w:sz w:val="32"/>
          <w:szCs w:val="32"/>
          <w:highlight w:val="none"/>
          <w:u w:val="none"/>
          <w:lang w:eastAsia="zh-CN"/>
        </w:rPr>
        <w:t>，具有特级校长荣誉的在职教师</w:t>
      </w:r>
      <w:r>
        <w:rPr>
          <w:rFonts w:hint="eastAsia" w:ascii="仿宋" w:hAnsi="仿宋" w:eastAsia="仿宋" w:cs="仿宋"/>
          <w:b w:val="0"/>
          <w:bCs w:val="0"/>
          <w:color w:val="auto"/>
          <w:sz w:val="32"/>
          <w:szCs w:val="32"/>
          <w:highlight w:val="none"/>
          <w:u w:val="none"/>
          <w:lang w:val="en-US" w:eastAsia="zh-CN"/>
        </w:rPr>
        <w:t>（年龄在50周岁及以下）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lang w:eastAsia="zh-CN"/>
        </w:rPr>
        <w:t>具有浙江省特级教师荣誉或正高级职称的在职教师</w:t>
      </w:r>
      <w:r>
        <w:rPr>
          <w:rFonts w:hint="eastAsia" w:ascii="仿宋" w:hAnsi="仿宋" w:eastAsia="仿宋" w:cs="仿宋"/>
          <w:b w:val="0"/>
          <w:bCs w:val="0"/>
          <w:color w:val="auto"/>
          <w:sz w:val="32"/>
          <w:szCs w:val="32"/>
          <w:highlight w:val="none"/>
          <w:u w:val="none"/>
          <w:lang w:val="en-US" w:eastAsia="zh-CN"/>
        </w:rPr>
        <w:t>（年龄在50周岁及以下）；</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指导学生在全国或省级数学、物理、化学、生物或信息</w:t>
      </w:r>
      <w:r>
        <w:rPr>
          <w:rFonts w:hint="eastAsia" w:ascii="仿宋" w:hAnsi="仿宋" w:eastAsia="仿宋" w:cs="仿宋"/>
          <w:b w:val="0"/>
          <w:bCs w:val="0"/>
          <w:color w:val="auto"/>
          <w:sz w:val="32"/>
          <w:szCs w:val="32"/>
          <w:highlight w:val="none"/>
          <w:u w:val="none"/>
          <w:lang w:eastAsia="zh-CN"/>
        </w:rPr>
        <w:t>学</w:t>
      </w:r>
      <w:r>
        <w:rPr>
          <w:rFonts w:hint="eastAsia" w:ascii="仿宋" w:hAnsi="仿宋" w:eastAsia="仿宋" w:cs="仿宋"/>
          <w:b w:val="0"/>
          <w:bCs w:val="0"/>
          <w:color w:val="auto"/>
          <w:sz w:val="32"/>
          <w:szCs w:val="32"/>
          <w:highlight w:val="none"/>
          <w:u w:val="none"/>
        </w:rPr>
        <w:t>奥林匹克竞赛中获得金牌（或</w:t>
      </w:r>
      <w:r>
        <w:rPr>
          <w:rFonts w:hint="eastAsia" w:ascii="仿宋" w:hAnsi="仿宋" w:eastAsia="仿宋" w:cs="仿宋"/>
          <w:b w:val="0"/>
          <w:bCs w:val="0"/>
          <w:color w:val="auto"/>
          <w:sz w:val="32"/>
          <w:szCs w:val="32"/>
          <w:highlight w:val="none"/>
          <w:u w:val="none"/>
          <w:lang w:eastAsia="zh-CN"/>
        </w:rPr>
        <w:t>全国竞赛省级赛区复赛</w:t>
      </w:r>
      <w:r>
        <w:rPr>
          <w:rFonts w:hint="eastAsia" w:ascii="仿宋" w:hAnsi="仿宋" w:eastAsia="仿宋" w:cs="仿宋"/>
          <w:b w:val="0"/>
          <w:bCs w:val="0"/>
          <w:color w:val="auto"/>
          <w:sz w:val="32"/>
          <w:szCs w:val="32"/>
          <w:highlight w:val="none"/>
          <w:u w:val="none"/>
        </w:rPr>
        <w:t>一等奖</w:t>
      </w: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rPr>
        <w:t>人次以上）</w:t>
      </w:r>
      <w:r>
        <w:rPr>
          <w:rFonts w:hint="eastAsia" w:ascii="仿宋" w:hAnsi="仿宋" w:eastAsia="仿宋" w:cs="仿宋"/>
          <w:b w:val="0"/>
          <w:bCs w:val="0"/>
          <w:color w:val="auto"/>
          <w:sz w:val="32"/>
          <w:szCs w:val="32"/>
          <w:highlight w:val="none"/>
          <w:u w:val="none"/>
          <w:lang w:eastAsia="zh-CN"/>
        </w:rPr>
        <w:t>或全国职业技能大赛一等奖且为主要指导教师</w:t>
      </w:r>
      <w:r>
        <w:rPr>
          <w:rFonts w:hint="eastAsia" w:ascii="仿宋" w:hAnsi="仿宋" w:eastAsia="仿宋" w:cs="仿宋"/>
          <w:b w:val="0"/>
          <w:bCs w:val="0"/>
          <w:color w:val="auto"/>
          <w:sz w:val="32"/>
          <w:szCs w:val="32"/>
          <w:highlight w:val="none"/>
          <w:u w:val="none"/>
        </w:rPr>
        <w:t>，或被评为同级别优秀指导教师的</w:t>
      </w:r>
      <w:r>
        <w:rPr>
          <w:rFonts w:hint="eastAsia" w:ascii="仿宋" w:hAnsi="仿宋" w:eastAsia="仿宋" w:cs="仿宋"/>
          <w:b w:val="0"/>
          <w:bCs w:val="0"/>
          <w:color w:val="auto"/>
          <w:sz w:val="32"/>
          <w:szCs w:val="32"/>
          <w:highlight w:val="none"/>
          <w:u w:val="none"/>
          <w:lang w:eastAsia="zh-CN"/>
        </w:rPr>
        <w:t>在职教师</w:t>
      </w:r>
      <w:r>
        <w:rPr>
          <w:rFonts w:hint="eastAsia" w:ascii="仿宋" w:hAnsi="仿宋" w:eastAsia="仿宋" w:cs="仿宋"/>
          <w:b w:val="0"/>
          <w:bCs w:val="0"/>
          <w:color w:val="auto"/>
          <w:sz w:val="32"/>
          <w:szCs w:val="32"/>
          <w:highlight w:val="none"/>
          <w:u w:val="none"/>
          <w:lang w:val="en-US" w:eastAsia="zh-CN"/>
        </w:rPr>
        <w:t>（年龄在50周岁及以下）</w:t>
      </w:r>
      <w:r>
        <w:rPr>
          <w:rFonts w:hint="eastAsia" w:ascii="仿宋" w:hAnsi="仿宋" w:eastAsia="仿宋" w:cs="仿宋"/>
          <w:b w:val="0"/>
          <w:bCs w:val="0"/>
          <w:color w:val="auto"/>
          <w:sz w:val="32"/>
          <w:szCs w:val="32"/>
          <w:highlight w:val="none"/>
          <w:u w:val="none"/>
        </w:rPr>
        <w:t>。</w:t>
      </w:r>
    </w:p>
    <w:p>
      <w:pPr>
        <w:widowControl w:val="0"/>
        <w:wordWrap/>
        <w:adjustRightInd w:val="0"/>
        <w:snapToGrid w:val="0"/>
        <w:spacing w:line="580"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二类人才：</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1.</w:t>
      </w:r>
      <w:r>
        <w:rPr>
          <w:rFonts w:hint="eastAsia" w:ascii="仿宋" w:hAnsi="仿宋" w:eastAsia="仿宋" w:cs="仿宋"/>
          <w:b w:val="0"/>
          <w:bCs w:val="0"/>
          <w:color w:val="auto"/>
          <w:sz w:val="32"/>
          <w:szCs w:val="32"/>
          <w:highlight w:val="none"/>
          <w:u w:val="none"/>
        </w:rPr>
        <w:t>具有省级名师工作室领衔者、省级名校长、省级名教师等称号的在职教师</w:t>
      </w:r>
      <w:r>
        <w:rPr>
          <w:rFonts w:hint="eastAsia" w:ascii="仿宋" w:hAnsi="仿宋" w:eastAsia="仿宋" w:cs="仿宋"/>
          <w:b w:val="0"/>
          <w:bCs w:val="0"/>
          <w:color w:val="auto"/>
          <w:sz w:val="32"/>
          <w:szCs w:val="32"/>
          <w:highlight w:val="none"/>
          <w:u w:val="none"/>
          <w:lang w:val="en-US" w:eastAsia="zh-CN"/>
        </w:rPr>
        <w:t>（年龄在45周岁及以下）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rPr>
        <w:t>全日制博士研究生</w:t>
      </w:r>
      <w:r>
        <w:rPr>
          <w:rFonts w:hint="eastAsia" w:ascii="仿宋" w:hAnsi="仿宋" w:eastAsia="仿宋" w:cs="仿宋"/>
          <w:b w:val="0"/>
          <w:bCs w:val="0"/>
          <w:color w:val="auto"/>
          <w:sz w:val="32"/>
          <w:szCs w:val="32"/>
          <w:highlight w:val="none"/>
          <w:u w:val="none"/>
          <w:lang w:eastAsia="zh-CN"/>
        </w:rPr>
        <w:t>（年龄在</w:t>
      </w:r>
      <w:r>
        <w:rPr>
          <w:rFonts w:hint="eastAsia" w:ascii="仿宋" w:hAnsi="仿宋" w:eastAsia="仿宋" w:cs="仿宋"/>
          <w:b w:val="0"/>
          <w:bCs w:val="0"/>
          <w:color w:val="auto"/>
          <w:sz w:val="32"/>
          <w:szCs w:val="32"/>
          <w:highlight w:val="none"/>
          <w:u w:val="none"/>
          <w:lang w:val="en-US" w:eastAsia="zh-CN"/>
        </w:rPr>
        <w:t>35周岁及以下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三类人才：</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lang w:val="en-US" w:eastAsia="zh-CN"/>
        </w:rPr>
        <w:t>1.</w:t>
      </w:r>
      <w:r>
        <w:rPr>
          <w:rFonts w:hint="eastAsia" w:ascii="仿宋" w:hAnsi="仿宋" w:eastAsia="仿宋" w:cs="仿宋"/>
          <w:b w:val="0"/>
          <w:bCs w:val="0"/>
          <w:color w:val="auto"/>
          <w:sz w:val="32"/>
          <w:szCs w:val="32"/>
          <w:highlight w:val="none"/>
          <w:u w:val="none"/>
        </w:rPr>
        <w:t>具有省级教坛新秀称号的在职教师</w:t>
      </w:r>
      <w:r>
        <w:rPr>
          <w:rFonts w:hint="eastAsia" w:ascii="仿宋" w:hAnsi="仿宋" w:eastAsia="仿宋" w:cs="仿宋"/>
          <w:b w:val="0"/>
          <w:bCs w:val="0"/>
          <w:color w:val="auto"/>
          <w:sz w:val="32"/>
          <w:szCs w:val="32"/>
          <w:highlight w:val="none"/>
          <w:u w:val="none"/>
          <w:lang w:val="en-US" w:eastAsia="zh-CN"/>
        </w:rPr>
        <w:t>（年龄在45周岁及以下）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rPr>
        <w:t>具有地（市）级名师工作室领衔者、地（市）级名校长、地（市）级名师</w:t>
      </w:r>
      <w:r>
        <w:rPr>
          <w:rFonts w:hint="eastAsia" w:ascii="仿宋" w:hAnsi="仿宋" w:eastAsia="仿宋" w:cs="仿宋"/>
          <w:b w:val="0"/>
          <w:bCs w:val="0"/>
          <w:color w:val="auto"/>
          <w:sz w:val="32"/>
          <w:szCs w:val="32"/>
          <w:highlight w:val="none"/>
          <w:u w:val="none"/>
          <w:lang w:eastAsia="zh-CN"/>
        </w:rPr>
        <w:t>（名家）</w:t>
      </w:r>
      <w:r>
        <w:rPr>
          <w:rFonts w:hint="eastAsia" w:ascii="仿宋" w:hAnsi="仿宋" w:eastAsia="仿宋" w:cs="仿宋"/>
          <w:b w:val="0"/>
          <w:bCs w:val="0"/>
          <w:color w:val="auto"/>
          <w:sz w:val="32"/>
          <w:szCs w:val="32"/>
          <w:highlight w:val="none"/>
          <w:u w:val="none"/>
        </w:rPr>
        <w:t>称号的在职教师</w:t>
      </w:r>
      <w:r>
        <w:rPr>
          <w:rFonts w:hint="eastAsia" w:ascii="仿宋" w:hAnsi="仿宋" w:eastAsia="仿宋" w:cs="仿宋"/>
          <w:b w:val="0"/>
          <w:bCs w:val="0"/>
          <w:color w:val="auto"/>
          <w:sz w:val="32"/>
          <w:szCs w:val="32"/>
          <w:highlight w:val="none"/>
          <w:u w:val="none"/>
          <w:lang w:val="en-US" w:eastAsia="zh-CN"/>
        </w:rPr>
        <w:t>（年龄在45周岁及以下）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default"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获得专业技能省级竞赛</w:t>
      </w:r>
      <w:r>
        <w:rPr>
          <w:rFonts w:hint="eastAsia" w:ascii="仿宋" w:hAnsi="仿宋" w:eastAsia="仿宋" w:cs="仿宋"/>
          <w:b w:val="0"/>
          <w:bCs w:val="0"/>
          <w:color w:val="auto"/>
          <w:sz w:val="32"/>
          <w:szCs w:val="32"/>
          <w:highlight w:val="none"/>
          <w:u w:val="none"/>
          <w:lang w:val="en-US" w:eastAsia="zh-CN"/>
        </w:rPr>
        <w:t>一</w:t>
      </w:r>
      <w:r>
        <w:rPr>
          <w:rFonts w:hint="eastAsia" w:ascii="仿宋" w:hAnsi="仿宋" w:eastAsia="仿宋" w:cs="仿宋"/>
          <w:b w:val="0"/>
          <w:bCs w:val="0"/>
          <w:color w:val="auto"/>
          <w:sz w:val="32"/>
          <w:szCs w:val="32"/>
          <w:highlight w:val="none"/>
          <w:u w:val="none"/>
        </w:rPr>
        <w:t>等奖（含指导奖）以上的在职教师</w:t>
      </w:r>
      <w:r>
        <w:rPr>
          <w:rFonts w:hint="eastAsia" w:ascii="仿宋" w:hAnsi="仿宋" w:eastAsia="仿宋" w:cs="仿宋"/>
          <w:b w:val="0"/>
          <w:bCs w:val="0"/>
          <w:color w:val="auto"/>
          <w:sz w:val="32"/>
          <w:szCs w:val="32"/>
          <w:highlight w:val="none"/>
          <w:u w:val="none"/>
          <w:lang w:val="en-US" w:eastAsia="zh-CN"/>
        </w:rPr>
        <w:t>（年龄在40周岁及以下）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二、紧缺急需人才（即四、五类人才）</w:t>
      </w:r>
    </w:p>
    <w:p>
      <w:pPr>
        <w:widowControl w:val="0"/>
        <w:wordWrap/>
        <w:adjustRightInd w:val="0"/>
        <w:snapToGrid w:val="0"/>
        <w:spacing w:line="580"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四类人才：</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1.</w:t>
      </w:r>
      <w:r>
        <w:rPr>
          <w:rFonts w:hint="eastAsia" w:ascii="仿宋" w:hAnsi="仿宋" w:eastAsia="仿宋" w:cs="仿宋"/>
          <w:b w:val="0"/>
          <w:bCs w:val="0"/>
          <w:color w:val="auto"/>
          <w:sz w:val="32"/>
          <w:szCs w:val="32"/>
          <w:highlight w:val="none"/>
          <w:u w:val="none"/>
        </w:rPr>
        <w:t>具有</w:t>
      </w:r>
      <w:r>
        <w:rPr>
          <w:rFonts w:hint="eastAsia" w:ascii="仿宋" w:hAnsi="仿宋" w:eastAsia="仿宋" w:cs="仿宋"/>
          <w:b w:val="0"/>
          <w:bCs w:val="0"/>
          <w:color w:val="auto"/>
          <w:sz w:val="32"/>
          <w:szCs w:val="32"/>
          <w:highlight w:val="none"/>
          <w:u w:val="none"/>
          <w:lang w:eastAsia="zh-CN"/>
        </w:rPr>
        <w:t>地市级以上学科带头人称号或具有副高级专业技术职务资格的在职教师（年龄在</w:t>
      </w:r>
      <w:r>
        <w:rPr>
          <w:rFonts w:hint="eastAsia" w:ascii="仿宋" w:hAnsi="仿宋" w:eastAsia="仿宋" w:cs="仿宋"/>
          <w:b w:val="0"/>
          <w:bCs w:val="0"/>
          <w:color w:val="auto"/>
          <w:sz w:val="32"/>
          <w:szCs w:val="32"/>
          <w:highlight w:val="none"/>
          <w:u w:val="none"/>
          <w:lang w:val="en-US" w:eastAsia="zh-CN"/>
        </w:rPr>
        <w:t>45周岁及</w:t>
      </w:r>
      <w:bookmarkStart w:id="0" w:name="_GoBack"/>
      <w:bookmarkEnd w:id="0"/>
      <w:r>
        <w:rPr>
          <w:rFonts w:hint="eastAsia" w:ascii="仿宋" w:hAnsi="仿宋" w:eastAsia="仿宋" w:cs="仿宋"/>
          <w:b w:val="0"/>
          <w:bCs w:val="0"/>
          <w:color w:val="auto"/>
          <w:sz w:val="32"/>
          <w:szCs w:val="32"/>
          <w:highlight w:val="none"/>
          <w:u w:val="none"/>
          <w:lang w:val="en-US" w:eastAsia="zh-CN"/>
        </w:rPr>
        <w:t>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2.</w:t>
      </w:r>
      <w:r>
        <w:rPr>
          <w:rFonts w:hint="eastAsia" w:ascii="仿宋" w:hAnsi="仿宋" w:eastAsia="仿宋" w:cs="仿宋"/>
          <w:b w:val="0"/>
          <w:bCs w:val="0"/>
          <w:color w:val="auto"/>
          <w:sz w:val="32"/>
          <w:szCs w:val="32"/>
          <w:highlight w:val="none"/>
          <w:u w:val="none"/>
        </w:rPr>
        <w:t>全日制硕士研究生学历的人才</w:t>
      </w:r>
      <w:r>
        <w:rPr>
          <w:rFonts w:hint="eastAsia" w:ascii="仿宋" w:hAnsi="仿宋" w:eastAsia="仿宋" w:cs="仿宋"/>
          <w:b w:val="0"/>
          <w:bCs w:val="0"/>
          <w:color w:val="auto"/>
          <w:sz w:val="32"/>
          <w:szCs w:val="32"/>
          <w:highlight w:val="none"/>
          <w:u w:val="none"/>
        </w:rPr>
        <w:t>（年龄在3</w:t>
      </w:r>
      <w:r>
        <w:rPr>
          <w:rFonts w:hint="eastAsia" w:ascii="仿宋" w:hAnsi="仿宋" w:eastAsia="仿宋" w:cs="仿宋"/>
          <w:b w:val="0"/>
          <w:bCs w:val="0"/>
          <w:color w:val="auto"/>
          <w:sz w:val="32"/>
          <w:szCs w:val="32"/>
          <w:highlight w:val="none"/>
          <w:u w:val="none"/>
          <w:lang w:val="en-US" w:eastAsia="zh-CN"/>
        </w:rPr>
        <w:t>0</w:t>
      </w:r>
      <w:r>
        <w:rPr>
          <w:rFonts w:hint="eastAsia" w:ascii="仿宋" w:hAnsi="仿宋" w:eastAsia="仿宋" w:cs="仿宋"/>
          <w:b w:val="0"/>
          <w:bCs w:val="0"/>
          <w:color w:val="auto"/>
          <w:sz w:val="32"/>
          <w:szCs w:val="32"/>
          <w:highlight w:val="none"/>
          <w:u w:val="none"/>
        </w:rPr>
        <w:t>周岁</w:t>
      </w:r>
      <w:r>
        <w:rPr>
          <w:rFonts w:hint="eastAsia" w:ascii="仿宋" w:hAnsi="仿宋" w:eastAsia="仿宋" w:cs="仿宋"/>
          <w:b w:val="0"/>
          <w:bCs w:val="0"/>
          <w:color w:val="auto"/>
          <w:sz w:val="32"/>
          <w:szCs w:val="32"/>
          <w:highlight w:val="none"/>
          <w:u w:val="none"/>
          <w:lang w:eastAsia="zh-CN"/>
        </w:rPr>
        <w:t>及</w:t>
      </w:r>
      <w:r>
        <w:rPr>
          <w:rFonts w:hint="eastAsia" w:ascii="仿宋" w:hAnsi="仿宋" w:eastAsia="仿宋" w:cs="仿宋"/>
          <w:b w:val="0"/>
          <w:bCs w:val="0"/>
          <w:color w:val="auto"/>
          <w:sz w:val="32"/>
          <w:szCs w:val="32"/>
          <w:highlight w:val="none"/>
          <w:u w:val="none"/>
        </w:rPr>
        <w:t>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国家“211工程”</w:t>
      </w:r>
      <w:r>
        <w:rPr>
          <w:rFonts w:hint="eastAsia" w:ascii="仿宋" w:hAnsi="仿宋" w:eastAsia="仿宋" w:cs="仿宋"/>
          <w:b w:val="0"/>
          <w:bCs w:val="0"/>
          <w:color w:val="auto"/>
          <w:sz w:val="32"/>
          <w:szCs w:val="32"/>
          <w:highlight w:val="none"/>
          <w:u w:val="none"/>
          <w:lang w:eastAsia="zh-CN"/>
        </w:rPr>
        <w:t>和</w:t>
      </w:r>
      <w:r>
        <w:rPr>
          <w:rFonts w:hint="eastAsia" w:ascii="仿宋" w:hAnsi="仿宋" w:eastAsia="仿宋" w:cs="仿宋"/>
          <w:b w:val="0"/>
          <w:bCs w:val="0"/>
          <w:color w:val="auto"/>
          <w:sz w:val="32"/>
          <w:szCs w:val="32"/>
          <w:highlight w:val="none"/>
          <w:u w:val="none"/>
        </w:rPr>
        <w:t>“双一流”</w:t>
      </w:r>
      <w:r>
        <w:rPr>
          <w:rFonts w:hint="eastAsia" w:ascii="仿宋" w:hAnsi="仿宋" w:eastAsia="仿宋" w:cs="仿宋"/>
          <w:b w:val="0"/>
          <w:bCs w:val="0"/>
          <w:color w:val="auto"/>
          <w:sz w:val="32"/>
          <w:szCs w:val="32"/>
          <w:highlight w:val="none"/>
          <w:u w:val="none"/>
          <w:lang w:eastAsia="zh-CN"/>
        </w:rPr>
        <w:t>大学</w:t>
      </w:r>
      <w:r>
        <w:rPr>
          <w:rFonts w:hint="eastAsia" w:ascii="仿宋" w:hAnsi="仿宋" w:eastAsia="仿宋" w:cs="仿宋"/>
          <w:b w:val="0"/>
          <w:bCs w:val="0"/>
          <w:color w:val="auto"/>
          <w:sz w:val="32"/>
          <w:szCs w:val="32"/>
          <w:highlight w:val="none"/>
          <w:u w:val="none"/>
        </w:rPr>
        <w:t>全日制普通高校本科毕业生</w:t>
      </w:r>
      <w:r>
        <w:rPr>
          <w:rFonts w:hint="eastAsia" w:ascii="仿宋" w:hAnsi="仿宋" w:eastAsia="仿宋" w:cs="仿宋"/>
          <w:b w:val="0"/>
          <w:bCs w:val="0"/>
          <w:color w:val="auto"/>
          <w:sz w:val="32"/>
          <w:szCs w:val="32"/>
          <w:highlight w:val="none"/>
          <w:u w:val="none"/>
          <w:lang w:eastAsia="zh-CN"/>
        </w:rPr>
        <w:t>（其中“双一流”指国家“一流大学”建设高校以及国家“一流学科”建设高校对应的一流学科的毕业生；</w:t>
      </w:r>
      <w:r>
        <w:rPr>
          <w:rFonts w:hint="eastAsia" w:ascii="仿宋" w:hAnsi="仿宋" w:eastAsia="仿宋" w:cs="仿宋"/>
          <w:b w:val="0"/>
          <w:bCs w:val="0"/>
          <w:color w:val="auto"/>
          <w:sz w:val="32"/>
          <w:szCs w:val="32"/>
          <w:highlight w:val="none"/>
          <w:u w:val="none"/>
        </w:rPr>
        <w:t>年龄在30周岁</w:t>
      </w:r>
      <w:r>
        <w:rPr>
          <w:rFonts w:hint="eastAsia" w:ascii="仿宋" w:hAnsi="仿宋" w:eastAsia="仿宋" w:cs="仿宋"/>
          <w:b w:val="0"/>
          <w:bCs w:val="0"/>
          <w:color w:val="auto"/>
          <w:sz w:val="32"/>
          <w:szCs w:val="32"/>
          <w:highlight w:val="none"/>
          <w:u w:val="none"/>
          <w:lang w:eastAsia="zh-CN"/>
        </w:rPr>
        <w:t>及</w:t>
      </w:r>
      <w:r>
        <w:rPr>
          <w:rFonts w:hint="eastAsia" w:ascii="仿宋" w:hAnsi="仿宋" w:eastAsia="仿宋" w:cs="仿宋"/>
          <w:b w:val="0"/>
          <w:bCs w:val="0"/>
          <w:color w:val="auto"/>
          <w:sz w:val="32"/>
          <w:szCs w:val="32"/>
          <w:highlight w:val="none"/>
          <w:u w:val="none"/>
        </w:rPr>
        <w:t>以下）</w:t>
      </w:r>
      <w:r>
        <w:rPr>
          <w:rFonts w:hint="eastAsia" w:ascii="仿宋" w:hAnsi="仿宋" w:eastAsia="仿宋" w:cs="仿宋"/>
          <w:b w:val="0"/>
          <w:bCs w:val="0"/>
          <w:color w:val="auto"/>
          <w:sz w:val="32"/>
          <w:szCs w:val="32"/>
          <w:highlight w:val="none"/>
          <w:u w:val="none"/>
          <w:lang w:eastAsia="zh-CN"/>
        </w:rPr>
        <w:t>；</w:t>
      </w:r>
    </w:p>
    <w:p>
      <w:pPr>
        <w:widowControl w:val="0"/>
        <w:wordWrap/>
        <w:adjustRightInd w:val="0"/>
        <w:snapToGrid w:val="0"/>
        <w:spacing w:line="580" w:lineRule="exact"/>
        <w:ind w:firstLine="640" w:firstLineChars="200"/>
        <w:textAlignment w:val="auto"/>
        <w:rPr>
          <w:rFonts w:hint="eastAsia"/>
          <w:color w:val="auto"/>
          <w:highlight w:val="none"/>
          <w:lang w:eastAsia="zh-CN"/>
        </w:rPr>
      </w:pPr>
      <w:r>
        <w:rPr>
          <w:rFonts w:hint="eastAsia" w:ascii="楷体" w:hAnsi="楷体" w:eastAsia="楷体" w:cs="楷体"/>
          <w:b w:val="0"/>
          <w:bCs w:val="0"/>
          <w:color w:val="auto"/>
          <w:sz w:val="32"/>
          <w:szCs w:val="32"/>
          <w:highlight w:val="none"/>
          <w:u w:val="none"/>
          <w:lang w:val="en-US" w:eastAsia="zh-CN"/>
        </w:rPr>
        <w:t>五类人才：</w:t>
      </w:r>
    </w:p>
    <w:p>
      <w:pPr>
        <w:widowControl w:val="0"/>
        <w:wordWrap/>
        <w:adjustRightInd w:val="0"/>
        <w:snapToGrid w:val="0"/>
        <w:spacing w:line="58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val="en-US" w:eastAsia="zh-CN"/>
        </w:rPr>
        <w:t>1.普通</w:t>
      </w:r>
      <w:r>
        <w:rPr>
          <w:rFonts w:hint="eastAsia" w:ascii="仿宋" w:hAnsi="仿宋" w:eastAsia="仿宋" w:cs="仿宋"/>
          <w:b w:val="0"/>
          <w:bCs w:val="0"/>
          <w:color w:val="auto"/>
          <w:sz w:val="32"/>
          <w:szCs w:val="32"/>
          <w:highlight w:val="none"/>
          <w:u w:val="none"/>
          <w:lang w:eastAsia="zh-CN"/>
        </w:rPr>
        <w:t>高校师范类专业应届本科毕业生（年龄在30周岁及以下）。</w:t>
      </w:r>
    </w:p>
    <w:p>
      <w:pPr>
        <w:widowControl w:val="0"/>
        <w:wordWrap/>
        <w:adjustRightInd w:val="0"/>
        <w:snapToGrid w:val="0"/>
        <w:spacing w:line="580" w:lineRule="exact"/>
        <w:ind w:firstLine="640" w:firstLineChars="200"/>
        <w:textAlignment w:val="auto"/>
        <w:rPr>
          <w:rFonts w:hint="default"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2.普通高校应届本科毕业生（年龄在30周岁及以下）。</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fldChar w:fldCharType="begin"/>
                          </w:r>
                          <w:r>
                            <w:rPr>
                              <w:rFonts w:hint="eastAsia" w:asciiTheme="majorEastAsia" w:hAnsiTheme="majorEastAsia" w:eastAsiaTheme="majorEastAsia" w:cstheme="majorEastAsia"/>
                              <w:b/>
                              <w:bCs/>
                              <w:sz w:val="21"/>
                              <w:szCs w:val="21"/>
                            </w:rPr>
                            <w:instrText xml:space="preserve"> PAGE  \* MERGEFORMAT </w:instrText>
                          </w:r>
                          <w:r>
                            <w:rPr>
                              <w:rFonts w:hint="eastAsia" w:asciiTheme="majorEastAsia" w:hAnsiTheme="majorEastAsia" w:eastAsiaTheme="majorEastAsia" w:cstheme="majorEastAsia"/>
                              <w:b/>
                              <w:bCs/>
                              <w:sz w:val="21"/>
                              <w:szCs w:val="21"/>
                            </w:rPr>
                            <w:fldChar w:fldCharType="separate"/>
                          </w:r>
                          <w:r>
                            <w:rPr>
                              <w:rFonts w:hint="eastAsia" w:asciiTheme="majorEastAsia" w:hAnsiTheme="majorEastAsia" w:eastAsiaTheme="majorEastAsia" w:cstheme="majorEastAsia"/>
                              <w:b/>
                              <w:bCs/>
                              <w:sz w:val="21"/>
                              <w:szCs w:val="21"/>
                            </w:rPr>
                            <w:t>- 1 -</w:t>
                          </w:r>
                          <w:r>
                            <w:rPr>
                              <w:rFonts w:hint="eastAsia" w:asciiTheme="majorEastAsia" w:hAnsiTheme="majorEastAsia" w:eastAsiaTheme="majorEastAsia" w:cstheme="majorEastAsia"/>
                              <w:b/>
                              <w:bCs/>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fldChar w:fldCharType="begin"/>
                    </w:r>
                    <w:r>
                      <w:rPr>
                        <w:rFonts w:hint="eastAsia" w:asciiTheme="majorEastAsia" w:hAnsiTheme="majorEastAsia" w:eastAsiaTheme="majorEastAsia" w:cstheme="majorEastAsia"/>
                        <w:b/>
                        <w:bCs/>
                        <w:sz w:val="21"/>
                        <w:szCs w:val="21"/>
                      </w:rPr>
                      <w:instrText xml:space="preserve"> PAGE  \* MERGEFORMAT </w:instrText>
                    </w:r>
                    <w:r>
                      <w:rPr>
                        <w:rFonts w:hint="eastAsia" w:asciiTheme="majorEastAsia" w:hAnsiTheme="majorEastAsia" w:eastAsiaTheme="majorEastAsia" w:cstheme="majorEastAsia"/>
                        <w:b/>
                        <w:bCs/>
                        <w:sz w:val="21"/>
                        <w:szCs w:val="21"/>
                      </w:rPr>
                      <w:fldChar w:fldCharType="separate"/>
                    </w:r>
                    <w:r>
                      <w:rPr>
                        <w:rFonts w:hint="eastAsia" w:asciiTheme="majorEastAsia" w:hAnsiTheme="majorEastAsia" w:eastAsiaTheme="majorEastAsia" w:cstheme="majorEastAsia"/>
                        <w:b/>
                        <w:bCs/>
                        <w:sz w:val="21"/>
                        <w:szCs w:val="21"/>
                      </w:rPr>
                      <w:t>- 1 -</w:t>
                    </w:r>
                    <w:r>
                      <w:rPr>
                        <w:rFonts w:hint="eastAsia" w:asciiTheme="majorEastAsia" w:hAnsiTheme="majorEastAsia" w:eastAsiaTheme="majorEastAsia" w:cstheme="majorEastAsia"/>
                        <w:b/>
                        <w:bCs/>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E35D3"/>
    <w:rsid w:val="26522258"/>
    <w:rsid w:val="5C943DA4"/>
    <w:rsid w:val="671F30D1"/>
    <w:rsid w:val="78FE3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ind w:left="741"/>
      <w:outlineLvl w:val="2"/>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2022-05-13T11:34:00Z</dcterms:created>
  <dc:creator>王少燕</dc:creator>
  <cp:lastModifiedBy>王少燕</cp:lastModifiedBy>
  <dcterms:modified xsi:type="dcterms:W3CDTF">2022-05-17T03:01:46Z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