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C7" w:rsidRDefault="005650C7" w:rsidP="00D05DCB">
      <w:pPr>
        <w:snapToGrid w:val="0"/>
        <w:spacing w:line="380" w:lineRule="exact"/>
        <w:rPr>
          <w:rFonts w:ascii="仿宋_GB2312" w:eastAsia="仿宋_GB2312"/>
          <w:bCs/>
          <w:sz w:val="28"/>
          <w:szCs w:val="28"/>
        </w:rPr>
        <w:sectPr w:rsidR="005650C7">
          <w:headerReference w:type="default" r:id="rId7"/>
          <w:footerReference w:type="even" r:id="rId8"/>
          <w:pgSz w:w="16838" w:h="11906" w:orient="landscape"/>
          <w:pgMar w:top="1474" w:right="1474" w:bottom="1474" w:left="1701" w:header="851" w:footer="1418" w:gutter="0"/>
          <w:cols w:space="425"/>
          <w:docGrid w:type="lines" w:linePitch="312"/>
        </w:sectPr>
      </w:pPr>
    </w:p>
    <w:p w:rsidR="005650C7" w:rsidRDefault="00FF5ADE" w:rsidP="00D05DCB">
      <w:pPr>
        <w:rPr>
          <w:rFonts w:ascii="宋体" w:hAnsi="宋体"/>
          <w:b/>
          <w:bCs/>
          <w:sz w:val="36"/>
          <w:szCs w:val="36"/>
        </w:rPr>
      </w:pPr>
      <w:r>
        <w:rPr>
          <w:rFonts w:ascii="宋体" w:hAnsi="宋体" w:hint="eastAsia"/>
          <w:b/>
          <w:bCs/>
          <w:sz w:val="36"/>
          <w:szCs w:val="36"/>
        </w:rPr>
        <w:lastRenderedPageBreak/>
        <w:t>附件</w:t>
      </w:r>
      <w:r w:rsidR="00CA50F5">
        <w:rPr>
          <w:rFonts w:ascii="宋体" w:hAnsi="宋体" w:hint="eastAsia"/>
          <w:b/>
          <w:bCs/>
          <w:sz w:val="36"/>
          <w:szCs w:val="36"/>
        </w:rPr>
        <w:t>1</w:t>
      </w:r>
      <w:r>
        <w:rPr>
          <w:rFonts w:ascii="宋体" w:hAnsi="宋体" w:hint="eastAsia"/>
          <w:b/>
          <w:bCs/>
          <w:sz w:val="36"/>
          <w:szCs w:val="36"/>
        </w:rPr>
        <w:t>：</w:t>
      </w:r>
      <w:r w:rsidR="00CA50F5">
        <w:rPr>
          <w:rFonts w:ascii="宋体" w:hAnsi="宋体" w:hint="eastAsia"/>
          <w:b/>
          <w:bCs/>
          <w:sz w:val="36"/>
          <w:szCs w:val="36"/>
        </w:rPr>
        <w:t>龙渊街道办事处</w:t>
      </w:r>
      <w:r>
        <w:rPr>
          <w:rFonts w:ascii="宋体" w:hAnsi="宋体" w:hint="eastAsia"/>
          <w:b/>
          <w:bCs/>
          <w:sz w:val="36"/>
          <w:szCs w:val="36"/>
        </w:rPr>
        <w:t>重大执法决定法制审核流程图</w:t>
      </w:r>
    </w:p>
    <w:p w:rsidR="005650C7" w:rsidRDefault="00FF5ADE">
      <w:pPr>
        <w:snapToGrid w:val="0"/>
        <w:spacing w:line="380" w:lineRule="exact"/>
        <w:ind w:firstLine="570"/>
        <w:rPr>
          <w:b/>
          <w:bCs/>
          <w:sz w:val="36"/>
          <w:szCs w:val="36"/>
        </w:rPr>
      </w:pPr>
      <w:r>
        <w:rPr>
          <w:rFonts w:hint="eastAsia"/>
          <w:b/>
          <w:bCs/>
          <w:noProof/>
          <w:sz w:val="36"/>
          <w:szCs w:val="36"/>
        </w:rPr>
        <w:drawing>
          <wp:anchor distT="0" distB="0" distL="114300" distR="114300" simplePos="0" relativeHeight="251658240" behindDoc="0" locked="0" layoutInCell="1" allowOverlap="1">
            <wp:simplePos x="0" y="0"/>
            <wp:positionH relativeFrom="column">
              <wp:posOffset>-200025</wp:posOffset>
            </wp:positionH>
            <wp:positionV relativeFrom="paragraph">
              <wp:posOffset>163195</wp:posOffset>
            </wp:positionV>
            <wp:extent cx="5727065" cy="6962140"/>
            <wp:effectExtent l="0" t="0" r="6985" b="10160"/>
            <wp:wrapSquare wrapText="bothSides"/>
            <wp:docPr id="2" name="图片 2" descr="微信截图_2020120818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01208181943"/>
                    <pic:cNvPicPr>
                      <a:picLocks noChangeAspect="1"/>
                    </pic:cNvPicPr>
                  </pic:nvPicPr>
                  <pic:blipFill>
                    <a:blip r:embed="rId9"/>
                    <a:stretch>
                      <a:fillRect/>
                    </a:stretch>
                  </pic:blipFill>
                  <pic:spPr>
                    <a:xfrm>
                      <a:off x="0" y="0"/>
                      <a:ext cx="5727065" cy="6962140"/>
                    </a:xfrm>
                    <a:prstGeom prst="rect">
                      <a:avLst/>
                    </a:prstGeom>
                    <a:noFill/>
                    <a:ln>
                      <a:noFill/>
                    </a:ln>
                  </pic:spPr>
                </pic:pic>
              </a:graphicData>
            </a:graphic>
          </wp:anchor>
        </w:drawing>
      </w:r>
      <w:r>
        <w:rPr>
          <w:rFonts w:hint="eastAsia"/>
          <w:b/>
          <w:bCs/>
          <w:noProof/>
          <w:sz w:val="36"/>
          <w:szCs w:val="36"/>
        </w:rPr>
        <w:drawing>
          <wp:inline distT="0" distB="0" distL="114300" distR="114300">
            <wp:extent cx="5727065" cy="6962140"/>
            <wp:effectExtent l="0" t="0" r="6985" b="10160"/>
            <wp:docPr id="1" name="图片 1" descr="微信截图_2020120818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01208181943"/>
                    <pic:cNvPicPr>
                      <a:picLocks noChangeAspect="1"/>
                    </pic:cNvPicPr>
                  </pic:nvPicPr>
                  <pic:blipFill>
                    <a:blip r:embed="rId9"/>
                    <a:stretch>
                      <a:fillRect/>
                    </a:stretch>
                  </pic:blipFill>
                  <pic:spPr>
                    <a:xfrm>
                      <a:off x="0" y="0"/>
                      <a:ext cx="5727065" cy="6962140"/>
                    </a:xfrm>
                    <a:prstGeom prst="rect">
                      <a:avLst/>
                    </a:prstGeom>
                    <a:noFill/>
                    <a:ln>
                      <a:noFill/>
                    </a:ln>
                  </pic:spPr>
                </pic:pic>
              </a:graphicData>
            </a:graphic>
          </wp:inline>
        </w:drawing>
      </w:r>
    </w:p>
    <w:p w:rsidR="005650C7" w:rsidRDefault="005650C7">
      <w:pPr>
        <w:snapToGrid w:val="0"/>
        <w:spacing w:line="380" w:lineRule="exact"/>
        <w:ind w:firstLine="570"/>
        <w:rPr>
          <w:b/>
          <w:bCs/>
          <w:sz w:val="36"/>
          <w:szCs w:val="36"/>
        </w:rPr>
        <w:sectPr w:rsidR="005650C7">
          <w:pgSz w:w="11906" w:h="16838"/>
          <w:pgMar w:top="1474" w:right="1474" w:bottom="1701" w:left="1474" w:header="851" w:footer="1418" w:gutter="0"/>
          <w:cols w:space="425"/>
          <w:docGrid w:type="lines" w:linePitch="312"/>
        </w:sectPr>
      </w:pPr>
    </w:p>
    <w:p w:rsidR="005650C7" w:rsidRDefault="00FF5ADE">
      <w:pPr>
        <w:spacing w:line="400" w:lineRule="exact"/>
        <w:jc w:val="center"/>
        <w:rPr>
          <w:rFonts w:ascii="宋体" w:hAnsi="宋体" w:cs="宋体"/>
          <w:b/>
          <w:sz w:val="36"/>
          <w:szCs w:val="36"/>
        </w:rPr>
      </w:pPr>
      <w:r>
        <w:rPr>
          <w:rFonts w:ascii="宋体" w:hAnsi="宋体" w:cs="宋体" w:hint="eastAsia"/>
          <w:b/>
          <w:sz w:val="36"/>
          <w:szCs w:val="36"/>
        </w:rPr>
        <w:lastRenderedPageBreak/>
        <w:t>附件</w:t>
      </w:r>
      <w:r w:rsidR="00CA50F5">
        <w:rPr>
          <w:rFonts w:ascii="宋体" w:hAnsi="宋体" w:cs="宋体" w:hint="eastAsia"/>
          <w:b/>
          <w:sz w:val="36"/>
          <w:szCs w:val="36"/>
        </w:rPr>
        <w:t>2</w:t>
      </w:r>
      <w:r>
        <w:rPr>
          <w:rFonts w:ascii="宋体" w:hAnsi="宋体" w:cs="宋体" w:hint="eastAsia"/>
          <w:b/>
          <w:sz w:val="36"/>
          <w:szCs w:val="36"/>
        </w:rPr>
        <w:t>：</w:t>
      </w:r>
      <w:r w:rsidR="00CA50F5">
        <w:rPr>
          <w:rFonts w:ascii="宋体" w:hAnsi="宋体" w:cs="宋体" w:hint="eastAsia"/>
          <w:b/>
          <w:sz w:val="36"/>
          <w:szCs w:val="36"/>
        </w:rPr>
        <w:t>龙渊街道办事处</w:t>
      </w:r>
      <w:r>
        <w:rPr>
          <w:rFonts w:ascii="宋体" w:hAnsi="宋体" w:cs="宋体" w:hint="eastAsia"/>
          <w:b/>
          <w:sz w:val="36"/>
          <w:szCs w:val="36"/>
        </w:rPr>
        <w:t>重大执法决定法制审核目录清单</w:t>
      </w:r>
    </w:p>
    <w:p w:rsidR="005650C7" w:rsidRDefault="005650C7">
      <w:pPr>
        <w:spacing w:line="400" w:lineRule="exact"/>
        <w:rPr>
          <w:rFonts w:ascii="仿宋" w:eastAsia="仿宋" w:hAnsi="仿宋"/>
          <w:sz w:val="32"/>
          <w:szCs w:val="32"/>
        </w:rPr>
      </w:pPr>
    </w:p>
    <w:tbl>
      <w:tblPr>
        <w:tblW w:w="10915" w:type="dxa"/>
        <w:tblInd w:w="-459" w:type="dxa"/>
        <w:tblLook w:val="04A0"/>
      </w:tblPr>
      <w:tblGrid>
        <w:gridCol w:w="567"/>
        <w:gridCol w:w="851"/>
        <w:gridCol w:w="4536"/>
        <w:gridCol w:w="4961"/>
      </w:tblGrid>
      <w:tr w:rsidR="005650C7">
        <w:trPr>
          <w:trHeight w:val="390"/>
        </w:trPr>
        <w:tc>
          <w:tcPr>
            <w:tcW w:w="567" w:type="dxa"/>
            <w:vMerge w:val="restart"/>
            <w:tcBorders>
              <w:top w:val="single" w:sz="4" w:space="0" w:color="auto"/>
              <w:left w:val="single" w:sz="4" w:space="0" w:color="auto"/>
              <w:bottom w:val="nil"/>
              <w:right w:val="single" w:sz="4" w:space="0" w:color="auto"/>
            </w:tcBorders>
            <w:shd w:val="clear" w:color="auto" w:fill="auto"/>
            <w:noWrap/>
            <w:vAlign w:val="center"/>
          </w:tcPr>
          <w:p w:rsidR="005650C7" w:rsidRDefault="00FF5AD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序号</w:t>
            </w:r>
          </w:p>
        </w:tc>
        <w:tc>
          <w:tcPr>
            <w:tcW w:w="851" w:type="dxa"/>
            <w:vMerge w:val="restart"/>
            <w:tcBorders>
              <w:top w:val="single" w:sz="4" w:space="0" w:color="auto"/>
              <w:left w:val="single" w:sz="4" w:space="0" w:color="auto"/>
              <w:bottom w:val="nil"/>
              <w:right w:val="nil"/>
            </w:tcBorders>
            <w:shd w:val="clear" w:color="auto" w:fill="auto"/>
            <w:noWrap/>
            <w:vAlign w:val="center"/>
          </w:tcPr>
          <w:p w:rsidR="005650C7" w:rsidRDefault="00FF5AD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事项名称</w:t>
            </w:r>
          </w:p>
        </w:tc>
        <w:tc>
          <w:tcPr>
            <w:tcW w:w="4536" w:type="dxa"/>
            <w:vMerge w:val="restart"/>
            <w:tcBorders>
              <w:top w:val="single" w:sz="4" w:space="0" w:color="auto"/>
              <w:left w:val="single" w:sz="4" w:space="0" w:color="auto"/>
              <w:bottom w:val="nil"/>
              <w:right w:val="single" w:sz="4" w:space="0" w:color="auto"/>
            </w:tcBorders>
            <w:shd w:val="clear" w:color="auto" w:fill="auto"/>
            <w:noWrap/>
            <w:vAlign w:val="center"/>
          </w:tcPr>
          <w:p w:rsidR="005650C7" w:rsidRDefault="00FF5AD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依据条款</w:t>
            </w:r>
          </w:p>
        </w:tc>
        <w:tc>
          <w:tcPr>
            <w:tcW w:w="4961" w:type="dxa"/>
            <w:vMerge w:val="restart"/>
            <w:tcBorders>
              <w:top w:val="single" w:sz="4" w:space="0" w:color="auto"/>
              <w:left w:val="single" w:sz="4" w:space="0" w:color="auto"/>
              <w:bottom w:val="nil"/>
              <w:right w:val="single" w:sz="4" w:space="0" w:color="auto"/>
            </w:tcBorders>
            <w:shd w:val="clear" w:color="auto" w:fill="auto"/>
            <w:noWrap/>
            <w:vAlign w:val="center"/>
          </w:tcPr>
          <w:p w:rsidR="005650C7" w:rsidRDefault="00FF5AD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列入审核</w:t>
            </w:r>
          </w:p>
        </w:tc>
      </w:tr>
      <w:tr w:rsidR="005650C7">
        <w:trPr>
          <w:trHeight w:val="312"/>
        </w:trPr>
        <w:tc>
          <w:tcPr>
            <w:tcW w:w="567" w:type="dxa"/>
            <w:vMerge/>
            <w:tcBorders>
              <w:top w:val="single" w:sz="4" w:space="0" w:color="auto"/>
              <w:left w:val="single" w:sz="4" w:space="0" w:color="auto"/>
              <w:bottom w:val="nil"/>
              <w:right w:val="single" w:sz="4" w:space="0" w:color="auto"/>
            </w:tcBorders>
            <w:noWrap/>
            <w:vAlign w:val="center"/>
          </w:tcPr>
          <w:p w:rsidR="005650C7" w:rsidRDefault="005650C7">
            <w:pPr>
              <w:widowControl/>
              <w:jc w:val="left"/>
              <w:rPr>
                <w:rFonts w:ascii="黑体" w:eastAsia="黑体" w:hAnsi="黑体" w:cs="宋体"/>
                <w:color w:val="000000"/>
                <w:kern w:val="0"/>
                <w:sz w:val="20"/>
                <w:szCs w:val="20"/>
              </w:rPr>
            </w:pPr>
          </w:p>
        </w:tc>
        <w:tc>
          <w:tcPr>
            <w:tcW w:w="851" w:type="dxa"/>
            <w:vMerge/>
            <w:tcBorders>
              <w:top w:val="single" w:sz="4" w:space="0" w:color="auto"/>
              <w:left w:val="single" w:sz="4" w:space="0" w:color="auto"/>
              <w:bottom w:val="nil"/>
              <w:right w:val="nil"/>
            </w:tcBorders>
            <w:noWrap/>
            <w:vAlign w:val="center"/>
          </w:tcPr>
          <w:p w:rsidR="005650C7" w:rsidRDefault="005650C7">
            <w:pPr>
              <w:widowControl/>
              <w:jc w:val="left"/>
              <w:rPr>
                <w:rFonts w:ascii="黑体" w:eastAsia="黑体" w:hAnsi="黑体" w:cs="宋体"/>
                <w:color w:val="000000"/>
                <w:kern w:val="0"/>
                <w:sz w:val="20"/>
                <w:szCs w:val="20"/>
              </w:rPr>
            </w:pPr>
          </w:p>
        </w:tc>
        <w:tc>
          <w:tcPr>
            <w:tcW w:w="4536" w:type="dxa"/>
            <w:vMerge/>
            <w:tcBorders>
              <w:top w:val="single" w:sz="4" w:space="0" w:color="auto"/>
              <w:left w:val="single" w:sz="4" w:space="0" w:color="auto"/>
              <w:bottom w:val="nil"/>
              <w:right w:val="single" w:sz="4" w:space="0" w:color="auto"/>
            </w:tcBorders>
            <w:noWrap/>
            <w:vAlign w:val="center"/>
          </w:tcPr>
          <w:p w:rsidR="005650C7" w:rsidRDefault="005650C7">
            <w:pPr>
              <w:widowControl/>
              <w:jc w:val="left"/>
              <w:rPr>
                <w:rFonts w:ascii="黑体" w:eastAsia="黑体" w:hAnsi="黑体" w:cs="宋体"/>
                <w:color w:val="000000"/>
                <w:kern w:val="0"/>
                <w:sz w:val="20"/>
                <w:szCs w:val="20"/>
              </w:rPr>
            </w:pPr>
          </w:p>
        </w:tc>
        <w:tc>
          <w:tcPr>
            <w:tcW w:w="4961" w:type="dxa"/>
            <w:vMerge/>
            <w:tcBorders>
              <w:top w:val="single" w:sz="4" w:space="0" w:color="auto"/>
              <w:left w:val="single" w:sz="4" w:space="0" w:color="auto"/>
              <w:bottom w:val="nil"/>
              <w:right w:val="single" w:sz="4" w:space="0" w:color="auto"/>
            </w:tcBorders>
            <w:noWrap/>
            <w:vAlign w:val="center"/>
          </w:tcPr>
          <w:p w:rsidR="005650C7" w:rsidRDefault="005650C7">
            <w:pPr>
              <w:widowControl/>
              <w:jc w:val="left"/>
              <w:rPr>
                <w:rFonts w:ascii="黑体" w:eastAsia="黑体" w:hAnsi="黑体" w:cs="宋体"/>
                <w:color w:val="000000"/>
                <w:kern w:val="0"/>
                <w:sz w:val="20"/>
                <w:szCs w:val="20"/>
              </w:rPr>
            </w:pPr>
          </w:p>
        </w:tc>
      </w:tr>
      <w:tr w:rsidR="005650C7">
        <w:trPr>
          <w:trHeight w:val="6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0C7" w:rsidRDefault="00FF5ADE">
            <w:pPr>
              <w:widowControl/>
              <w:jc w:val="center"/>
              <w:rPr>
                <w:rFonts w:ascii="仿宋_GB2312" w:hAnsi="仿宋_GB2312" w:cs="宋体"/>
                <w:color w:val="000000"/>
                <w:kern w:val="0"/>
                <w:sz w:val="15"/>
                <w:szCs w:val="15"/>
              </w:rPr>
            </w:pPr>
            <w:r>
              <w:rPr>
                <w:rFonts w:ascii="仿宋_GB2312" w:hAnsi="仿宋_GB2312" w:cs="宋体"/>
                <w:color w:val="000000"/>
                <w:kern w:val="0"/>
                <w:sz w:val="15"/>
                <w:szCs w:val="15"/>
              </w:rPr>
              <w:t>1</w:t>
            </w:r>
          </w:p>
        </w:tc>
        <w:tc>
          <w:tcPr>
            <w:tcW w:w="851" w:type="dxa"/>
            <w:tcBorders>
              <w:top w:val="single" w:sz="4" w:space="0" w:color="auto"/>
              <w:left w:val="nil"/>
              <w:bottom w:val="single" w:sz="4" w:space="0" w:color="auto"/>
              <w:right w:val="nil"/>
            </w:tcBorders>
            <w:shd w:val="clear" w:color="auto" w:fill="auto"/>
            <w:noWrap/>
            <w:vAlign w:val="center"/>
          </w:tcPr>
          <w:p w:rsidR="005650C7" w:rsidRDefault="00FF5ADE">
            <w:pPr>
              <w:widowControl/>
              <w:jc w:val="left"/>
              <w:rPr>
                <w:rFonts w:ascii="仿宋_GB2312" w:hAnsi="仿宋_GB2312" w:cs="宋体"/>
                <w:color w:val="000000"/>
                <w:kern w:val="0"/>
                <w:sz w:val="15"/>
                <w:szCs w:val="15"/>
              </w:rPr>
            </w:pPr>
            <w:r>
              <w:rPr>
                <w:rFonts w:ascii="仿宋_GB2312" w:hAnsi="仿宋_GB2312" w:cs="宋体"/>
                <w:color w:val="000000"/>
                <w:kern w:val="0"/>
                <w:sz w:val="15"/>
                <w:szCs w:val="15"/>
              </w:rPr>
              <w:t>对未依法取得乡村建设规划许可证或者未按照乡村建设规划许可证的规划进行建设的处罚</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0C7" w:rsidRDefault="00FF5ADE">
            <w:pPr>
              <w:widowControl/>
              <w:spacing w:line="300" w:lineRule="exact"/>
              <w:jc w:val="left"/>
              <w:rPr>
                <w:rFonts w:ascii="仿宋_GB2312" w:hAnsi="仿宋_GB2312" w:cs="宋体"/>
                <w:color w:val="000000"/>
                <w:kern w:val="0"/>
                <w:sz w:val="15"/>
                <w:szCs w:val="15"/>
              </w:rPr>
            </w:pPr>
            <w:r>
              <w:rPr>
                <w:rFonts w:ascii="仿宋_GB2312" w:hAnsi="仿宋_GB2312" w:cs="宋体"/>
                <w:color w:val="000000"/>
                <w:kern w:val="0"/>
                <w:sz w:val="15"/>
                <w:szCs w:val="15"/>
              </w:rPr>
              <w:t>《中华人民共和国城乡规划法》</w:t>
            </w:r>
            <w:r>
              <w:rPr>
                <w:rFonts w:ascii="仿宋_GB2312" w:hAnsi="仿宋_GB2312" w:cs="宋体"/>
                <w:color w:val="000000"/>
                <w:kern w:val="0"/>
                <w:sz w:val="15"/>
                <w:szCs w:val="15"/>
              </w:rPr>
              <w:br/>
            </w:r>
            <w:r>
              <w:rPr>
                <w:rFonts w:ascii="仿宋_GB2312" w:hAnsi="仿宋_GB2312" w:cs="宋体"/>
                <w:color w:val="000000"/>
                <w:kern w:val="0"/>
                <w:sz w:val="15"/>
                <w:szCs w:val="15"/>
              </w:rPr>
              <w:t xml:space="preserve">    </w:t>
            </w:r>
            <w:r>
              <w:rPr>
                <w:rFonts w:ascii="仿宋_GB2312" w:hAnsi="仿宋_GB2312" w:cs="宋体"/>
                <w:color w:val="000000"/>
                <w:kern w:val="0"/>
                <w:sz w:val="15"/>
                <w:szCs w:val="15"/>
              </w:rPr>
              <w:t>第六十五条</w:t>
            </w:r>
            <w:r>
              <w:rPr>
                <w:rFonts w:ascii="仿宋_GB2312" w:hAnsi="仿宋_GB2312" w:cs="宋体"/>
                <w:color w:val="000000"/>
                <w:kern w:val="0"/>
                <w:sz w:val="15"/>
                <w:szCs w:val="15"/>
              </w:rPr>
              <w:t xml:space="preserve"> </w:t>
            </w:r>
            <w:r>
              <w:rPr>
                <w:rFonts w:ascii="仿宋_GB2312" w:hAnsi="仿宋_GB2312" w:cs="宋体"/>
                <w:color w:val="000000"/>
                <w:kern w:val="0"/>
                <w:sz w:val="15"/>
                <w:szCs w:val="15"/>
              </w:rPr>
              <w:t>在乡、村庄规划区内未依法取得乡村建设规划许可证或者未按照乡村建设规划许可证的规定进行建设的，由乡、镇人民政府责令停止建设、限期改正；逾期不改正的，可以拆除。</w:t>
            </w:r>
            <w:r>
              <w:rPr>
                <w:rFonts w:ascii="仿宋_GB2312" w:hAnsi="仿宋_GB2312" w:cs="宋体"/>
                <w:color w:val="000000"/>
                <w:kern w:val="0"/>
                <w:sz w:val="15"/>
                <w:szCs w:val="15"/>
              </w:rPr>
              <w:br/>
            </w:r>
            <w:r>
              <w:rPr>
                <w:rFonts w:ascii="仿宋_GB2312" w:hAnsi="仿宋_GB2312" w:cs="宋体"/>
                <w:color w:val="000000"/>
                <w:kern w:val="0"/>
                <w:sz w:val="15"/>
                <w:szCs w:val="15"/>
              </w:rPr>
              <w:t>《中华人民共和国行政处罚法》</w:t>
            </w:r>
            <w:r>
              <w:rPr>
                <w:rFonts w:ascii="仿宋_GB2312" w:hAnsi="仿宋_GB2312" w:cs="宋体"/>
                <w:color w:val="000000"/>
                <w:kern w:val="0"/>
                <w:sz w:val="15"/>
                <w:szCs w:val="15"/>
              </w:rPr>
              <w:t xml:space="preserve">  </w:t>
            </w:r>
            <w:r>
              <w:rPr>
                <w:rFonts w:ascii="仿宋_GB2312" w:hAnsi="仿宋_GB2312" w:cs="宋体"/>
                <w:color w:val="000000"/>
                <w:kern w:val="0"/>
                <w:sz w:val="15"/>
                <w:szCs w:val="15"/>
              </w:rPr>
              <w:br/>
              <w:t xml:space="preserve">    </w:t>
            </w:r>
            <w:r>
              <w:rPr>
                <w:rFonts w:ascii="仿宋_GB2312" w:hAnsi="仿宋_GB2312" w:cs="宋体"/>
                <w:color w:val="000000"/>
                <w:kern w:val="0"/>
                <w:sz w:val="15"/>
                <w:szCs w:val="15"/>
              </w:rPr>
              <w:t>第三十一条　行政机关在作出行政处罚决定之前，应当告知当事人作出行政处罚决定的事实、理由及依据，并告知当事人依法享有的权利。</w:t>
            </w:r>
            <w:r>
              <w:rPr>
                <w:rFonts w:ascii="仿宋_GB2312" w:hAnsi="仿宋_GB2312" w:cs="宋体"/>
                <w:color w:val="000000"/>
                <w:kern w:val="0"/>
                <w:sz w:val="15"/>
                <w:szCs w:val="15"/>
              </w:rPr>
              <w:br/>
              <w:t xml:space="preserve">    </w:t>
            </w:r>
            <w:r>
              <w:rPr>
                <w:rFonts w:ascii="仿宋_GB2312" w:hAnsi="仿宋_GB2312" w:cs="宋体"/>
                <w:color w:val="000000"/>
                <w:kern w:val="0"/>
                <w:sz w:val="15"/>
                <w:szCs w:val="15"/>
              </w:rPr>
              <w:t>第三十六条　除本法第三十三条规定的可以当场作出的行政处罚外，行政机关发现公民、法人或者其他组织有依法应当给予行政处罚的行为的，</w:t>
            </w:r>
            <w:r>
              <w:rPr>
                <w:rFonts w:ascii="仿宋_GB2312" w:hAnsi="仿宋_GB2312" w:cs="宋体"/>
                <w:color w:val="000000"/>
                <w:kern w:val="0"/>
                <w:sz w:val="15"/>
                <w:szCs w:val="15"/>
              </w:rPr>
              <w:t>……</w:t>
            </w:r>
            <w:r>
              <w:rPr>
                <w:rFonts w:ascii="仿宋_GB2312" w:hAnsi="仿宋_GB2312" w:cs="宋体"/>
                <w:color w:val="000000"/>
                <w:kern w:val="0"/>
                <w:sz w:val="15"/>
                <w:szCs w:val="15"/>
              </w:rPr>
              <w:t xml:space="preserve">　</w:t>
            </w:r>
            <w:r>
              <w:rPr>
                <w:rFonts w:ascii="仿宋_GB2312" w:hAnsi="仿宋_GB2312" w:cs="宋体"/>
                <w:color w:val="000000"/>
                <w:kern w:val="0"/>
                <w:sz w:val="15"/>
                <w:szCs w:val="15"/>
              </w:rPr>
              <w:br/>
              <w:t xml:space="preserve">    </w:t>
            </w:r>
            <w:r>
              <w:rPr>
                <w:rFonts w:ascii="仿宋_GB2312" w:hAnsi="仿宋_GB2312" w:cs="宋体"/>
                <w:color w:val="000000"/>
                <w:kern w:val="0"/>
                <w:sz w:val="15"/>
                <w:szCs w:val="15"/>
              </w:rPr>
              <w:t>第三十七条　行政机</w:t>
            </w:r>
            <w:r>
              <w:rPr>
                <w:rFonts w:ascii="仿宋_GB2312" w:hAnsi="仿宋_GB2312" w:cs="宋体"/>
                <w:color w:val="000000"/>
                <w:kern w:val="0"/>
                <w:sz w:val="15"/>
                <w:szCs w:val="15"/>
              </w:rPr>
              <w:t>关在调查或者进行检查时，执法人员不得少于两人，</w:t>
            </w:r>
            <w:r>
              <w:rPr>
                <w:rFonts w:ascii="仿宋_GB2312" w:hAnsi="仿宋_GB2312" w:cs="宋体"/>
                <w:color w:val="000000"/>
                <w:kern w:val="0"/>
                <w:sz w:val="15"/>
                <w:szCs w:val="15"/>
              </w:rPr>
              <w:t>……</w:t>
            </w:r>
            <w:r>
              <w:rPr>
                <w:rFonts w:ascii="仿宋_GB2312" w:hAnsi="仿宋_GB2312" w:cs="宋体"/>
                <w:color w:val="000000"/>
                <w:kern w:val="0"/>
                <w:sz w:val="15"/>
                <w:szCs w:val="15"/>
              </w:rPr>
              <w:br/>
              <w:t xml:space="preserve">    </w:t>
            </w:r>
            <w:r>
              <w:rPr>
                <w:rFonts w:ascii="仿宋_GB2312" w:hAnsi="仿宋_GB2312" w:cs="宋体"/>
                <w:color w:val="000000"/>
                <w:kern w:val="0"/>
                <w:sz w:val="15"/>
                <w:szCs w:val="15"/>
              </w:rPr>
              <w:t>第三十八条　调查终结，行政机关负责人应当对调查结果进行审查，根据不同情况，分别作出如下决定：</w:t>
            </w:r>
            <w:r>
              <w:rPr>
                <w:rFonts w:ascii="仿宋_GB2312" w:hAnsi="仿宋_GB2312" w:cs="宋体"/>
                <w:color w:val="000000"/>
                <w:kern w:val="0"/>
                <w:sz w:val="15"/>
                <w:szCs w:val="15"/>
              </w:rPr>
              <w:t>……</w:t>
            </w:r>
            <w:r>
              <w:rPr>
                <w:rFonts w:ascii="仿宋_GB2312" w:hAnsi="仿宋_GB2312" w:cs="宋体"/>
                <w:color w:val="000000"/>
                <w:kern w:val="0"/>
                <w:sz w:val="15"/>
                <w:szCs w:val="15"/>
              </w:rPr>
              <w:br/>
              <w:t xml:space="preserve">    </w:t>
            </w:r>
            <w:r>
              <w:rPr>
                <w:rFonts w:ascii="仿宋_GB2312" w:hAnsi="仿宋_GB2312" w:cs="宋体"/>
                <w:color w:val="000000"/>
                <w:kern w:val="0"/>
                <w:sz w:val="15"/>
                <w:szCs w:val="15"/>
              </w:rPr>
              <w:t>第四十四条　行政处罚决定依法作出后，当事人应当在行政处罚决定的期限内，予以履行。</w:t>
            </w:r>
            <w:r>
              <w:rPr>
                <w:rFonts w:ascii="仿宋_GB2312" w:hAnsi="仿宋_GB2312" w:cs="宋体"/>
                <w:color w:val="000000"/>
                <w:kern w:val="0"/>
                <w:sz w:val="15"/>
                <w:szCs w:val="15"/>
              </w:rPr>
              <w:br/>
              <w:t xml:space="preserve">    </w:t>
            </w:r>
            <w:r>
              <w:rPr>
                <w:rFonts w:ascii="仿宋_GB2312" w:hAnsi="仿宋_GB2312" w:cs="宋体"/>
                <w:color w:val="000000"/>
                <w:kern w:val="0"/>
                <w:sz w:val="15"/>
                <w:szCs w:val="15"/>
              </w:rPr>
              <w:t>第五十一条　当事人逾期不履行行政处罚决定的，作出行政处罚决定的行政机关可以采取下列措施：</w:t>
            </w:r>
            <w:r>
              <w:rPr>
                <w:rFonts w:ascii="仿宋_GB2312" w:hAnsi="仿宋_GB2312" w:cs="宋体"/>
                <w:color w:val="000000"/>
                <w:kern w:val="0"/>
                <w:sz w:val="15"/>
                <w:szCs w:val="15"/>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650C7" w:rsidRDefault="00FF5ADE">
            <w:pPr>
              <w:widowControl/>
              <w:spacing w:line="300" w:lineRule="exact"/>
              <w:jc w:val="left"/>
              <w:rPr>
                <w:rFonts w:ascii="仿宋_GB2312" w:hAnsi="仿宋_GB2312" w:cs="宋体"/>
                <w:color w:val="000000"/>
                <w:kern w:val="0"/>
                <w:sz w:val="15"/>
                <w:szCs w:val="15"/>
              </w:rPr>
            </w:pPr>
            <w:r>
              <w:rPr>
                <w:rFonts w:ascii="仿宋_GB2312" w:hAnsi="仿宋_GB2312" w:cs="宋体"/>
                <w:color w:val="000000"/>
                <w:kern w:val="0"/>
                <w:sz w:val="15"/>
                <w:szCs w:val="15"/>
              </w:rPr>
              <w:t xml:space="preserve">    1</w:t>
            </w:r>
            <w:r>
              <w:rPr>
                <w:rFonts w:ascii="仿宋_GB2312" w:hAnsi="仿宋_GB2312" w:cs="宋体"/>
                <w:color w:val="000000"/>
                <w:kern w:val="0"/>
                <w:sz w:val="15"/>
                <w:szCs w:val="15"/>
              </w:rPr>
              <w:t>、立案环节责任：经实地初步核查，发现未依法取得乡村建设规划许可证或者未按照乡村建设规划许可证的规划进行建设的违法案件后，予以审查，决定是否立案。</w:t>
            </w:r>
            <w:r>
              <w:rPr>
                <w:rFonts w:ascii="仿宋_GB2312" w:hAnsi="仿宋_GB2312" w:cs="宋体"/>
                <w:color w:val="000000"/>
                <w:kern w:val="0"/>
                <w:sz w:val="15"/>
                <w:szCs w:val="15"/>
              </w:rPr>
              <w:br/>
              <w:t xml:space="preserve">   </w:t>
            </w:r>
            <w:r>
              <w:rPr>
                <w:rFonts w:ascii="仿宋_GB2312" w:hAnsi="仿宋_GB2312" w:cs="宋体"/>
                <w:color w:val="000000"/>
                <w:kern w:val="0"/>
                <w:sz w:val="15"/>
                <w:szCs w:val="15"/>
              </w:rPr>
              <w:t xml:space="preserve"> 2</w:t>
            </w:r>
            <w:r>
              <w:rPr>
                <w:rFonts w:ascii="仿宋_GB2312" w:hAnsi="仿宋_GB2312" w:cs="宋体"/>
                <w:color w:val="000000"/>
                <w:kern w:val="0"/>
                <w:sz w:val="15"/>
                <w:szCs w:val="15"/>
              </w:rPr>
              <w:t>、调查环节责任：乡、镇人民政府对立案的案件，指定专人负责，及时组织调查取证，与当事人有直接利害关系的应当回避。执法人员不得少于两人，调查时应出示执法证件，允许当事人辩解陈述，执法人员应保守有关秘密。</w:t>
            </w:r>
            <w:r>
              <w:rPr>
                <w:rFonts w:ascii="仿宋_GB2312" w:hAnsi="仿宋_GB2312" w:cs="宋体"/>
                <w:color w:val="000000"/>
                <w:kern w:val="0"/>
                <w:sz w:val="15"/>
                <w:szCs w:val="15"/>
              </w:rPr>
              <w:br/>
              <w:t xml:space="preserve">    3</w:t>
            </w:r>
            <w:r>
              <w:rPr>
                <w:rFonts w:ascii="仿宋_GB2312" w:hAnsi="仿宋_GB2312" w:cs="宋体"/>
                <w:color w:val="000000"/>
                <w:kern w:val="0"/>
                <w:sz w:val="15"/>
                <w:szCs w:val="15"/>
              </w:rPr>
              <w:t>、审查环节责任：审理案件调查报告，对案件违法事实、证据、调查取证程序、法律适用、处罚种类和幅度、当事人陈述和申辩理由等方面进行审查，提出处理意见（主要证据不足时，以适当的方式补充调查）。</w:t>
            </w:r>
            <w:r>
              <w:rPr>
                <w:rFonts w:ascii="仿宋_GB2312" w:hAnsi="仿宋_GB2312" w:cs="宋体"/>
                <w:color w:val="000000"/>
                <w:kern w:val="0"/>
                <w:sz w:val="15"/>
                <w:szCs w:val="15"/>
              </w:rPr>
              <w:br/>
              <w:t xml:space="preserve">    4</w:t>
            </w:r>
            <w:r>
              <w:rPr>
                <w:rFonts w:ascii="仿宋_GB2312" w:hAnsi="仿宋_GB2312" w:cs="宋体"/>
                <w:color w:val="000000"/>
                <w:kern w:val="0"/>
                <w:sz w:val="15"/>
                <w:szCs w:val="15"/>
              </w:rPr>
              <w:t>、告知环节责任：作出行政处罚决定前，应制作《行政处罚告知书》送达当事人，告知违法事实做出行政处罚决定</w:t>
            </w:r>
            <w:r>
              <w:rPr>
                <w:rFonts w:ascii="仿宋_GB2312" w:hAnsi="仿宋_GB2312" w:cs="宋体"/>
                <w:color w:val="000000"/>
                <w:kern w:val="0"/>
                <w:sz w:val="15"/>
                <w:szCs w:val="15"/>
              </w:rPr>
              <w:t>的事实、理由、依据及申辩的权利及其享有的陈述、申辩等权利，符合听证规定的，制作并送达《行政处罚听证告知书》。</w:t>
            </w:r>
            <w:r>
              <w:rPr>
                <w:rFonts w:ascii="仿宋_GB2312" w:hAnsi="仿宋_GB2312" w:cs="宋体"/>
                <w:color w:val="000000"/>
                <w:kern w:val="0"/>
                <w:sz w:val="15"/>
                <w:szCs w:val="15"/>
              </w:rPr>
              <w:br/>
              <w:t xml:space="preserve">    5</w:t>
            </w:r>
            <w:r>
              <w:rPr>
                <w:rFonts w:ascii="仿宋_GB2312" w:hAnsi="仿宋_GB2312" w:cs="宋体"/>
                <w:color w:val="000000"/>
                <w:kern w:val="0"/>
                <w:sz w:val="15"/>
                <w:szCs w:val="15"/>
              </w:rPr>
              <w:t>、决定环节责任：制作《行政处罚决定书》，载明行政处罚告知、当事人陈述、申辩或者听证情况等内容。</w:t>
            </w:r>
            <w:r>
              <w:rPr>
                <w:rFonts w:ascii="仿宋_GB2312" w:hAnsi="仿宋_GB2312" w:cs="宋体"/>
                <w:color w:val="000000"/>
                <w:kern w:val="0"/>
                <w:sz w:val="15"/>
                <w:szCs w:val="15"/>
              </w:rPr>
              <w:br/>
              <w:t xml:space="preserve">    6</w:t>
            </w:r>
            <w:r>
              <w:rPr>
                <w:rFonts w:ascii="仿宋_GB2312" w:hAnsi="仿宋_GB2312" w:cs="宋体"/>
                <w:color w:val="000000"/>
                <w:kern w:val="0"/>
                <w:sz w:val="15"/>
                <w:szCs w:val="15"/>
              </w:rPr>
              <w:t>、送达环节责任：行政处罚决定书应在</w:t>
            </w:r>
            <w:r>
              <w:rPr>
                <w:rFonts w:ascii="仿宋_GB2312" w:hAnsi="仿宋_GB2312" w:cs="宋体"/>
                <w:color w:val="000000"/>
                <w:kern w:val="0"/>
                <w:sz w:val="15"/>
                <w:szCs w:val="15"/>
              </w:rPr>
              <w:t>7</w:t>
            </w:r>
            <w:r>
              <w:rPr>
                <w:rFonts w:ascii="仿宋_GB2312" w:hAnsi="仿宋_GB2312" w:cs="宋体"/>
                <w:color w:val="000000"/>
                <w:kern w:val="0"/>
                <w:sz w:val="15"/>
                <w:szCs w:val="15"/>
              </w:rPr>
              <w:t>日内送达当事人。</w:t>
            </w:r>
            <w:r>
              <w:rPr>
                <w:rFonts w:ascii="仿宋_GB2312" w:hAnsi="仿宋_GB2312" w:cs="宋体"/>
                <w:color w:val="000000"/>
                <w:kern w:val="0"/>
                <w:sz w:val="15"/>
                <w:szCs w:val="15"/>
              </w:rPr>
              <w:br/>
              <w:t xml:space="preserve">    7</w:t>
            </w:r>
            <w:r>
              <w:rPr>
                <w:rFonts w:ascii="仿宋_GB2312" w:hAnsi="仿宋_GB2312" w:cs="宋体"/>
                <w:color w:val="000000"/>
                <w:kern w:val="0"/>
                <w:sz w:val="15"/>
                <w:szCs w:val="15"/>
              </w:rPr>
              <w:t>、执行环节责任：依照生效的行政处罚决定，监督当事人履行。当事人逾期不履行行政处罚决定的，可以采取加处罚款或申请人民法院强制执行的措施。</w:t>
            </w:r>
            <w:r>
              <w:rPr>
                <w:rFonts w:ascii="仿宋_GB2312" w:hAnsi="仿宋_GB2312" w:cs="宋体"/>
                <w:color w:val="000000"/>
                <w:kern w:val="0"/>
                <w:sz w:val="15"/>
                <w:szCs w:val="15"/>
              </w:rPr>
              <w:br/>
              <w:t xml:space="preserve">    8</w:t>
            </w:r>
            <w:r>
              <w:rPr>
                <w:rFonts w:ascii="仿宋_GB2312" w:hAnsi="仿宋_GB2312" w:cs="宋体"/>
                <w:color w:val="000000"/>
                <w:kern w:val="0"/>
                <w:sz w:val="15"/>
                <w:szCs w:val="15"/>
              </w:rPr>
              <w:t>、其他法律、法规、规章、文件规定应履行的责任。</w:t>
            </w:r>
          </w:p>
        </w:tc>
      </w:tr>
      <w:tr w:rsidR="005650C7">
        <w:trPr>
          <w:trHeight w:val="559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650C7" w:rsidRDefault="00FF5ADE">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2</w:t>
            </w:r>
          </w:p>
        </w:tc>
        <w:tc>
          <w:tcPr>
            <w:tcW w:w="851" w:type="dxa"/>
            <w:tcBorders>
              <w:top w:val="nil"/>
              <w:left w:val="nil"/>
              <w:bottom w:val="single" w:sz="4" w:space="0" w:color="auto"/>
              <w:right w:val="nil"/>
            </w:tcBorders>
            <w:shd w:val="clear" w:color="auto" w:fill="auto"/>
            <w:noWrap/>
            <w:vAlign w:val="center"/>
          </w:tcPr>
          <w:p w:rsidR="005650C7" w:rsidRDefault="00FF5ADE">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对个体工商户未按规划审批程序批准而占用经营场所的处罚</w:t>
            </w: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5650C7" w:rsidRDefault="00FF5ADE">
            <w:pPr>
              <w:widowControl/>
              <w:spacing w:line="300" w:lineRule="exact"/>
              <w:jc w:val="left"/>
              <w:rPr>
                <w:rFonts w:ascii="仿宋_GB2312" w:hAnsi="仿宋_GB2312" w:cs="宋体"/>
                <w:color w:val="000000"/>
                <w:kern w:val="0"/>
                <w:sz w:val="16"/>
                <w:szCs w:val="16"/>
              </w:rPr>
            </w:pPr>
            <w:r>
              <w:rPr>
                <w:rFonts w:ascii="仿宋_GB2312" w:hAnsi="仿宋_GB2312" w:cs="宋体"/>
                <w:color w:val="000000"/>
                <w:kern w:val="0"/>
                <w:sz w:val="16"/>
                <w:szCs w:val="16"/>
              </w:rPr>
              <w:br/>
            </w:r>
            <w:r>
              <w:rPr>
                <w:rFonts w:ascii="仿宋_GB2312" w:hAnsi="仿宋_GB2312" w:cs="宋体"/>
                <w:color w:val="000000"/>
                <w:kern w:val="0"/>
                <w:sz w:val="16"/>
                <w:szCs w:val="16"/>
              </w:rPr>
              <w:t>《中华人民共和国行政处罚法》</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第三十一条　行政机关在作出行政处罚决定之前，应当告知当事人作出行政处罚决定的事实、理由及依据，并告知当事人依法享有的权利。</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第三十六条　除本法第三十三条规定的可以当场作出的行政处罚外，行政机关发现公民、法人或者其他组织有依法应当给予行政处罚的行为的，</w:t>
            </w:r>
            <w:r>
              <w:rPr>
                <w:rFonts w:ascii="仿宋_GB2312" w:hAnsi="仿宋_GB2312" w:cs="宋体"/>
                <w:color w:val="000000"/>
                <w:kern w:val="0"/>
                <w:sz w:val="16"/>
                <w:szCs w:val="16"/>
              </w:rPr>
              <w:t>……</w:t>
            </w:r>
            <w:r>
              <w:rPr>
                <w:rFonts w:ascii="仿宋_GB2312" w:hAnsi="仿宋_GB2312" w:cs="宋体"/>
                <w:color w:val="000000"/>
                <w:kern w:val="0"/>
                <w:sz w:val="16"/>
                <w:szCs w:val="16"/>
              </w:rPr>
              <w:t xml:space="preserve">　第三十七条　行政机关在调查或者进行检查时，执法人员不得少于两人，</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第三十八条　调查终结，行政机关负责人应当对调查结果进行审查，根据不同</w:t>
            </w:r>
            <w:r>
              <w:rPr>
                <w:rFonts w:ascii="仿宋_GB2312" w:hAnsi="仿宋_GB2312" w:cs="宋体"/>
                <w:color w:val="000000"/>
                <w:kern w:val="0"/>
                <w:sz w:val="16"/>
                <w:szCs w:val="16"/>
              </w:rPr>
              <w:t>情况，分别作出如下决定：</w:t>
            </w:r>
            <w:r>
              <w:rPr>
                <w:rFonts w:ascii="仿宋_GB2312" w:hAnsi="仿宋_GB2312" w:cs="宋体"/>
                <w:color w:val="000000"/>
                <w:kern w:val="0"/>
                <w:sz w:val="16"/>
                <w:szCs w:val="16"/>
              </w:rPr>
              <w:t>……</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第四十条　行政处罚决定书应当在宣告后当场交付当事人；</w:t>
            </w:r>
            <w:r>
              <w:rPr>
                <w:rFonts w:ascii="仿宋_GB2312" w:hAnsi="仿宋_GB2312" w:cs="宋体"/>
                <w:color w:val="000000"/>
                <w:kern w:val="0"/>
                <w:sz w:val="16"/>
                <w:szCs w:val="16"/>
              </w:rPr>
              <w:t>……</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第四十四条　行政处罚决定依法作出后，当事人应当在行政处罚决定的期限内，予以履行。</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第五十一条　当事人逾期不履行行政处罚决定的，作出行政处罚决定的行政机关可以采取下列措施</w:t>
            </w:r>
            <w:r>
              <w:rPr>
                <w:rFonts w:ascii="仿宋_GB2312" w:hAnsi="仿宋_GB2312" w:cs="宋体"/>
                <w:color w:val="000000"/>
                <w:kern w:val="0"/>
                <w:sz w:val="16"/>
                <w:szCs w:val="16"/>
              </w:rPr>
              <w:t>……</w:t>
            </w:r>
          </w:p>
        </w:tc>
        <w:tc>
          <w:tcPr>
            <w:tcW w:w="4961" w:type="dxa"/>
            <w:tcBorders>
              <w:top w:val="nil"/>
              <w:left w:val="nil"/>
              <w:bottom w:val="single" w:sz="4" w:space="0" w:color="auto"/>
              <w:right w:val="single" w:sz="4" w:space="0" w:color="auto"/>
            </w:tcBorders>
            <w:shd w:val="clear" w:color="auto" w:fill="auto"/>
            <w:noWrap/>
            <w:vAlign w:val="center"/>
          </w:tcPr>
          <w:p w:rsidR="005650C7" w:rsidRDefault="00FF5ADE">
            <w:pPr>
              <w:widowControl/>
              <w:spacing w:line="300" w:lineRule="exact"/>
              <w:jc w:val="left"/>
              <w:rPr>
                <w:rFonts w:ascii="仿宋_GB2312" w:hAnsi="仿宋_GB2312" w:cs="宋体"/>
                <w:color w:val="000000"/>
                <w:kern w:val="0"/>
                <w:sz w:val="16"/>
                <w:szCs w:val="16"/>
              </w:rPr>
            </w:pPr>
            <w:r>
              <w:rPr>
                <w:rFonts w:ascii="仿宋_GB2312" w:hAnsi="仿宋_GB2312" w:cs="宋体"/>
                <w:color w:val="000000"/>
                <w:kern w:val="0"/>
                <w:sz w:val="16"/>
                <w:szCs w:val="16"/>
              </w:rPr>
              <w:t xml:space="preserve">    1</w:t>
            </w:r>
            <w:r>
              <w:rPr>
                <w:rFonts w:ascii="仿宋_GB2312" w:hAnsi="仿宋_GB2312" w:cs="宋体"/>
                <w:color w:val="000000"/>
                <w:kern w:val="0"/>
                <w:sz w:val="16"/>
                <w:szCs w:val="16"/>
              </w:rPr>
              <w:t>、立案环节责任：发现个体工商户未按规划审批程序批准而占用经营场所的违法案件后，经实地初核，决定是否立案。</w:t>
            </w:r>
            <w:r>
              <w:rPr>
                <w:rFonts w:ascii="仿宋_GB2312" w:hAnsi="仿宋_GB2312" w:cs="宋体"/>
                <w:color w:val="000000"/>
                <w:kern w:val="0"/>
                <w:sz w:val="16"/>
                <w:szCs w:val="16"/>
              </w:rPr>
              <w:br/>
              <w:t xml:space="preserve">    2</w:t>
            </w:r>
            <w:r>
              <w:rPr>
                <w:rFonts w:ascii="仿宋_GB2312" w:hAnsi="仿宋_GB2312" w:cs="宋体"/>
                <w:color w:val="000000"/>
                <w:kern w:val="0"/>
                <w:sz w:val="16"/>
                <w:szCs w:val="16"/>
              </w:rPr>
              <w:t>、调查环节责任：乡、镇人民政府对立案的案件，指定专人负责调查、取证，执法人员不得少于两人，调查时出示</w:t>
            </w:r>
            <w:r>
              <w:rPr>
                <w:rFonts w:ascii="仿宋_GB2312" w:hAnsi="仿宋_GB2312" w:cs="宋体"/>
                <w:color w:val="000000"/>
                <w:kern w:val="0"/>
                <w:sz w:val="16"/>
                <w:szCs w:val="16"/>
              </w:rPr>
              <w:t>执法证件，允许当事人辩解陈述，保守有关秘密。</w:t>
            </w:r>
            <w:r>
              <w:rPr>
                <w:rFonts w:ascii="仿宋_GB2312" w:hAnsi="仿宋_GB2312" w:cs="宋体"/>
                <w:color w:val="000000"/>
                <w:kern w:val="0"/>
                <w:sz w:val="16"/>
                <w:szCs w:val="16"/>
              </w:rPr>
              <w:br/>
              <w:t xml:space="preserve">    3</w:t>
            </w:r>
            <w:r>
              <w:rPr>
                <w:rFonts w:ascii="仿宋_GB2312" w:hAnsi="仿宋_GB2312" w:cs="宋体"/>
                <w:color w:val="000000"/>
                <w:kern w:val="0"/>
                <w:sz w:val="16"/>
                <w:szCs w:val="16"/>
              </w:rPr>
              <w:t>、审查环节责任：乡、镇人民政府对案件违法事实、证据、调查取证程序等方面进行审查，提出处理意见。</w:t>
            </w:r>
            <w:r>
              <w:rPr>
                <w:rFonts w:ascii="仿宋_GB2312" w:hAnsi="仿宋_GB2312" w:cs="宋体"/>
                <w:color w:val="000000"/>
                <w:kern w:val="0"/>
                <w:sz w:val="16"/>
                <w:szCs w:val="16"/>
              </w:rPr>
              <w:br/>
              <w:t xml:space="preserve">    4</w:t>
            </w:r>
            <w:r>
              <w:rPr>
                <w:rFonts w:ascii="仿宋_GB2312" w:hAnsi="仿宋_GB2312" w:cs="宋体"/>
                <w:color w:val="000000"/>
                <w:kern w:val="0"/>
                <w:sz w:val="16"/>
                <w:szCs w:val="16"/>
              </w:rPr>
              <w:t>、告知环节责任：乡、镇人民政府在做出行政处罚决定前，应当告知当事人违法事实及其享有的陈述、申辩、要求听证等权利；</w:t>
            </w:r>
            <w:r>
              <w:rPr>
                <w:rFonts w:ascii="仿宋_GB2312" w:hAnsi="仿宋_GB2312" w:cs="宋体"/>
                <w:color w:val="000000"/>
                <w:kern w:val="0"/>
                <w:sz w:val="16"/>
                <w:szCs w:val="16"/>
              </w:rPr>
              <w:br/>
              <w:t xml:space="preserve">    5</w:t>
            </w:r>
            <w:r>
              <w:rPr>
                <w:rFonts w:ascii="仿宋_GB2312" w:hAnsi="仿宋_GB2312" w:cs="宋体"/>
                <w:color w:val="000000"/>
                <w:kern w:val="0"/>
                <w:sz w:val="16"/>
                <w:szCs w:val="16"/>
              </w:rPr>
              <w:t>、决定环节责任：根据审理情况决定是否予以行政处罚。依法需要给予行政处罚的，应制作行政处罚决定书，载明违法事实和证据、处罚依据和内容、申请行政复议或提起行政诉讼的途径和期限等内容。</w:t>
            </w:r>
            <w:r>
              <w:rPr>
                <w:rFonts w:ascii="仿宋_GB2312" w:hAnsi="仿宋_GB2312" w:cs="宋体"/>
                <w:color w:val="000000"/>
                <w:kern w:val="0"/>
                <w:sz w:val="16"/>
                <w:szCs w:val="16"/>
              </w:rPr>
              <w:br/>
              <w:t xml:space="preserve">    6</w:t>
            </w:r>
            <w:r>
              <w:rPr>
                <w:rFonts w:ascii="仿宋_GB2312" w:hAnsi="仿宋_GB2312" w:cs="宋体"/>
                <w:color w:val="000000"/>
                <w:kern w:val="0"/>
                <w:sz w:val="16"/>
                <w:szCs w:val="16"/>
              </w:rPr>
              <w:t>、送达环节责任：行政处罚决定书应在</w:t>
            </w:r>
            <w:r>
              <w:rPr>
                <w:rFonts w:ascii="仿宋_GB2312" w:hAnsi="仿宋_GB2312" w:cs="宋体"/>
                <w:color w:val="000000"/>
                <w:kern w:val="0"/>
                <w:sz w:val="16"/>
                <w:szCs w:val="16"/>
              </w:rPr>
              <w:t>7</w:t>
            </w:r>
            <w:r>
              <w:rPr>
                <w:rFonts w:ascii="仿宋_GB2312" w:hAnsi="仿宋_GB2312" w:cs="宋体"/>
                <w:color w:val="000000"/>
                <w:kern w:val="0"/>
                <w:sz w:val="16"/>
                <w:szCs w:val="16"/>
              </w:rPr>
              <w:t>日内送达当事人。</w:t>
            </w:r>
            <w:r>
              <w:rPr>
                <w:rFonts w:ascii="仿宋_GB2312" w:hAnsi="仿宋_GB2312" w:cs="宋体"/>
                <w:color w:val="000000"/>
                <w:kern w:val="0"/>
                <w:sz w:val="16"/>
                <w:szCs w:val="16"/>
              </w:rPr>
              <w:br/>
              <w:t xml:space="preserve">    7</w:t>
            </w:r>
            <w:r>
              <w:rPr>
                <w:rFonts w:ascii="仿宋_GB2312" w:hAnsi="仿宋_GB2312" w:cs="宋体"/>
                <w:color w:val="000000"/>
                <w:kern w:val="0"/>
                <w:sz w:val="16"/>
                <w:szCs w:val="16"/>
              </w:rPr>
              <w:t>、执行环节责任：依照生效的行政处罚决定，监督当事人履行。当事人逾期不履行行政处罚决定的，可以采取加处罚款或申请人民法院强制执行的措施。</w:t>
            </w:r>
            <w:r>
              <w:rPr>
                <w:rFonts w:ascii="仿宋_GB2312" w:hAnsi="仿宋_GB2312" w:cs="宋体"/>
                <w:color w:val="000000"/>
                <w:kern w:val="0"/>
                <w:sz w:val="16"/>
                <w:szCs w:val="16"/>
              </w:rPr>
              <w:br/>
              <w:t xml:space="preserve">    8</w:t>
            </w:r>
            <w:r>
              <w:rPr>
                <w:rFonts w:ascii="仿宋_GB2312" w:hAnsi="仿宋_GB2312" w:cs="宋体"/>
                <w:color w:val="000000"/>
                <w:kern w:val="0"/>
                <w:sz w:val="16"/>
                <w:szCs w:val="16"/>
              </w:rPr>
              <w:t>、其他法律、法规、规章、文件规定应履行的责任。</w:t>
            </w:r>
          </w:p>
        </w:tc>
      </w:tr>
      <w:tr w:rsidR="005650C7">
        <w:trPr>
          <w:trHeight w:val="3316"/>
        </w:trPr>
        <w:tc>
          <w:tcPr>
            <w:tcW w:w="567" w:type="dxa"/>
            <w:tcBorders>
              <w:top w:val="nil"/>
              <w:left w:val="single" w:sz="4" w:space="0" w:color="auto"/>
              <w:bottom w:val="single" w:sz="4" w:space="0" w:color="auto"/>
              <w:right w:val="single" w:sz="4" w:space="0" w:color="auto"/>
            </w:tcBorders>
            <w:shd w:val="clear" w:color="auto" w:fill="auto"/>
            <w:noWrap/>
            <w:vAlign w:val="center"/>
          </w:tcPr>
          <w:p w:rsidR="005650C7" w:rsidRDefault="00FF5ADE">
            <w:pPr>
              <w:widowControl/>
              <w:jc w:val="center"/>
              <w:rPr>
                <w:rFonts w:ascii="仿宋_GB2312" w:hAnsi="仿宋_GB2312" w:cs="宋体"/>
                <w:color w:val="000000"/>
                <w:kern w:val="0"/>
                <w:sz w:val="16"/>
                <w:szCs w:val="16"/>
              </w:rPr>
            </w:pPr>
            <w:bookmarkStart w:id="0" w:name="_GoBack" w:colFirst="2" w:colLast="3"/>
            <w:r>
              <w:rPr>
                <w:rFonts w:ascii="仿宋_GB2312" w:hAnsi="仿宋_GB2312" w:cs="宋体"/>
                <w:color w:val="000000"/>
                <w:kern w:val="0"/>
                <w:sz w:val="16"/>
                <w:szCs w:val="16"/>
              </w:rPr>
              <w:lastRenderedPageBreak/>
              <w:t>3</w:t>
            </w:r>
          </w:p>
        </w:tc>
        <w:tc>
          <w:tcPr>
            <w:tcW w:w="851" w:type="dxa"/>
            <w:tcBorders>
              <w:top w:val="nil"/>
              <w:left w:val="nil"/>
              <w:bottom w:val="single" w:sz="4" w:space="0" w:color="auto"/>
              <w:right w:val="nil"/>
            </w:tcBorders>
            <w:shd w:val="clear" w:color="auto" w:fill="auto"/>
            <w:noWrap/>
            <w:vAlign w:val="center"/>
          </w:tcPr>
          <w:p w:rsidR="005650C7" w:rsidRDefault="00FF5ADE">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制止、铲除非法种植毒品原植物</w:t>
            </w: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5650C7" w:rsidRDefault="00FF5ADE">
            <w:pPr>
              <w:widowControl/>
              <w:spacing w:line="300" w:lineRule="exact"/>
              <w:jc w:val="left"/>
              <w:rPr>
                <w:rFonts w:ascii="仿宋_GB2312" w:hAnsi="仿宋_GB2312" w:cs="宋体"/>
                <w:color w:val="000000"/>
                <w:kern w:val="0"/>
                <w:sz w:val="16"/>
                <w:szCs w:val="16"/>
              </w:rPr>
            </w:pPr>
            <w:r>
              <w:rPr>
                <w:rFonts w:ascii="仿宋_GB2312" w:hAnsi="仿宋_GB2312" w:cs="宋体"/>
                <w:color w:val="000000"/>
                <w:kern w:val="0"/>
                <w:sz w:val="16"/>
                <w:szCs w:val="16"/>
              </w:rPr>
              <w:t>《中华人民共和国禁毒法》</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第十九条第二款</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地方各级人民政府发现非法种植毒品原植物的，应当立即采取措施予以制止、铲除。村民委员会、居民委员会发现非法种植毒品原植物的，应当及时予以制止、铲除，并向当地公安机关报告。</w:t>
            </w:r>
            <w:r>
              <w:rPr>
                <w:rFonts w:ascii="仿宋_GB2312" w:hAnsi="仿宋_GB2312" w:cs="宋体"/>
                <w:color w:val="000000"/>
                <w:kern w:val="0"/>
                <w:sz w:val="16"/>
                <w:szCs w:val="16"/>
              </w:rPr>
              <w:br/>
            </w:r>
            <w:r>
              <w:rPr>
                <w:rFonts w:ascii="仿宋_GB2312" w:hAnsi="仿宋_GB2312" w:cs="宋体"/>
                <w:color w:val="000000"/>
                <w:kern w:val="0"/>
                <w:sz w:val="16"/>
                <w:szCs w:val="16"/>
              </w:rPr>
              <w:t>《中华人民共和国行政强制法》</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第十八条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行政机关实施行政强制措施应当遵守下列规定：（一）实施前须向行政机关负责人报告并经批准；（二）由两名以上行政执法人员实施；（三）出示执法身份证件</w:t>
            </w:r>
            <w:r>
              <w:rPr>
                <w:rFonts w:ascii="仿宋_GB2312" w:hAnsi="仿宋_GB2312" w:cs="宋体"/>
                <w:color w:val="000000"/>
                <w:kern w:val="0"/>
                <w:sz w:val="16"/>
                <w:szCs w:val="16"/>
              </w:rPr>
              <w:t>;</w:t>
            </w:r>
            <w:r>
              <w:rPr>
                <w:rFonts w:ascii="仿宋_GB2312" w:hAnsi="仿宋_GB2312" w:cs="宋体"/>
                <w:color w:val="000000"/>
                <w:kern w:val="0"/>
                <w:sz w:val="16"/>
                <w:szCs w:val="16"/>
              </w:rPr>
              <w:t>（四）通知当事人到场；（五）当场告知当事人采取行政强制措施的理由、依据以及当事人依法享有的权利、救济途径；（八）现场笔录由当事人和行政执法人员签名或者盖章，当事人拒绝的，在笔录中予以注明；（九）当事人不到场的，邀请见证人到场，由见证人和行政执法人员在现场笔录上签名或者盖章；（十）法律、法规规定的其他程序。</w:t>
            </w:r>
          </w:p>
        </w:tc>
        <w:tc>
          <w:tcPr>
            <w:tcW w:w="4961" w:type="dxa"/>
            <w:tcBorders>
              <w:top w:val="nil"/>
              <w:left w:val="nil"/>
              <w:bottom w:val="single" w:sz="4" w:space="0" w:color="auto"/>
              <w:right w:val="single" w:sz="4" w:space="0" w:color="auto"/>
            </w:tcBorders>
            <w:shd w:val="clear" w:color="auto" w:fill="auto"/>
            <w:noWrap/>
            <w:vAlign w:val="center"/>
          </w:tcPr>
          <w:p w:rsidR="005650C7" w:rsidRDefault="00FF5ADE">
            <w:pPr>
              <w:widowControl/>
              <w:spacing w:line="300" w:lineRule="exact"/>
              <w:jc w:val="left"/>
              <w:rPr>
                <w:rFonts w:ascii="仿宋_GB2312" w:hAnsi="仿宋_GB2312" w:cs="宋体"/>
                <w:color w:val="000000"/>
                <w:kern w:val="0"/>
                <w:sz w:val="16"/>
                <w:szCs w:val="16"/>
              </w:rPr>
            </w:pPr>
            <w:r>
              <w:rPr>
                <w:rFonts w:ascii="仿宋_GB2312" w:hAnsi="仿宋_GB2312" w:cs="宋体"/>
                <w:color w:val="000000"/>
                <w:kern w:val="0"/>
                <w:sz w:val="16"/>
                <w:szCs w:val="16"/>
              </w:rPr>
              <w:t xml:space="preserve">    1</w:t>
            </w:r>
            <w:r>
              <w:rPr>
                <w:rFonts w:ascii="仿宋_GB2312" w:hAnsi="仿宋_GB2312" w:cs="宋体"/>
                <w:color w:val="000000"/>
                <w:kern w:val="0"/>
                <w:sz w:val="16"/>
                <w:szCs w:val="16"/>
              </w:rPr>
              <w:t>、批准环节责任：实施前须向行政</w:t>
            </w:r>
            <w:r>
              <w:rPr>
                <w:rFonts w:ascii="仿宋_GB2312" w:hAnsi="仿宋_GB2312" w:cs="宋体"/>
                <w:color w:val="000000"/>
                <w:kern w:val="0"/>
                <w:sz w:val="16"/>
                <w:szCs w:val="16"/>
              </w:rPr>
              <w:t>机关负责人报告并经批准；情况紧急，需要当场实施行政强制措施的，行政执法人员应当在二十四小时内向行政机关负责人报告，并补办批准手续。</w:t>
            </w:r>
            <w:r>
              <w:rPr>
                <w:rFonts w:ascii="仿宋_GB2312" w:hAnsi="仿宋_GB2312" w:cs="宋体"/>
                <w:color w:val="000000"/>
                <w:kern w:val="0"/>
                <w:sz w:val="16"/>
                <w:szCs w:val="16"/>
              </w:rPr>
              <w:br/>
              <w:t xml:space="preserve">    2</w:t>
            </w:r>
            <w:r>
              <w:rPr>
                <w:rFonts w:ascii="仿宋_GB2312" w:hAnsi="仿宋_GB2312" w:cs="宋体"/>
                <w:color w:val="000000"/>
                <w:kern w:val="0"/>
                <w:sz w:val="16"/>
                <w:szCs w:val="16"/>
              </w:rPr>
              <w:t>、决定环节责任：在决定前要充分听取当事人的陈述和申辩，告知当事人采取行政强制措施的理由、依据。</w:t>
            </w:r>
            <w:r>
              <w:rPr>
                <w:rFonts w:ascii="仿宋_GB2312" w:hAnsi="仿宋_GB2312" w:cs="宋体"/>
                <w:color w:val="000000"/>
                <w:kern w:val="0"/>
                <w:sz w:val="16"/>
                <w:szCs w:val="16"/>
              </w:rPr>
              <w:br/>
              <w:t xml:space="preserve">    3</w:t>
            </w:r>
            <w:r>
              <w:rPr>
                <w:rFonts w:ascii="仿宋_GB2312" w:hAnsi="仿宋_GB2312" w:cs="宋体"/>
                <w:color w:val="000000"/>
                <w:kern w:val="0"/>
                <w:sz w:val="16"/>
                <w:szCs w:val="16"/>
              </w:rPr>
              <w:t>、执行环节责任：由两名以上行政执法人员实施，要制作现场笔录，并由当事人签名或者盖章。</w:t>
            </w:r>
            <w:r>
              <w:rPr>
                <w:rFonts w:ascii="仿宋_GB2312" w:hAnsi="仿宋_GB2312" w:cs="宋体"/>
                <w:color w:val="000000"/>
                <w:kern w:val="0"/>
                <w:sz w:val="16"/>
                <w:szCs w:val="16"/>
              </w:rPr>
              <w:br/>
              <w:t xml:space="preserve">    4</w:t>
            </w:r>
            <w:r>
              <w:rPr>
                <w:rFonts w:ascii="仿宋_GB2312" w:hAnsi="仿宋_GB2312" w:cs="宋体"/>
                <w:color w:val="000000"/>
                <w:kern w:val="0"/>
                <w:sz w:val="16"/>
                <w:szCs w:val="16"/>
              </w:rPr>
              <w:t>、法律法规规章文件规定的应履行的其它责任。</w:t>
            </w:r>
          </w:p>
        </w:tc>
      </w:tr>
      <w:tr w:rsidR="005650C7">
        <w:trPr>
          <w:trHeight w:val="651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650C7" w:rsidRDefault="00FF5ADE">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4</w:t>
            </w:r>
          </w:p>
        </w:tc>
        <w:tc>
          <w:tcPr>
            <w:tcW w:w="851" w:type="dxa"/>
            <w:tcBorders>
              <w:top w:val="nil"/>
              <w:left w:val="nil"/>
              <w:bottom w:val="single" w:sz="4" w:space="0" w:color="auto"/>
              <w:right w:val="nil"/>
            </w:tcBorders>
            <w:shd w:val="clear" w:color="auto" w:fill="auto"/>
            <w:noWrap/>
            <w:vAlign w:val="center"/>
          </w:tcPr>
          <w:p w:rsidR="005650C7" w:rsidRDefault="00FF5ADE">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对未依法取得乡村建设规划许可证或者未按照乡村规划建设许可证的规定进行建设的逾期不改正的违法建筑的强制拆除</w:t>
            </w: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5650C7" w:rsidRDefault="00FF5ADE">
            <w:pPr>
              <w:widowControl/>
              <w:spacing w:line="300" w:lineRule="exact"/>
              <w:jc w:val="left"/>
              <w:rPr>
                <w:rFonts w:ascii="仿宋_GB2312" w:hAnsi="仿宋_GB2312" w:cs="宋体"/>
                <w:color w:val="000000"/>
                <w:kern w:val="0"/>
                <w:sz w:val="16"/>
                <w:szCs w:val="16"/>
              </w:rPr>
            </w:pPr>
            <w:r>
              <w:rPr>
                <w:rFonts w:ascii="仿宋_GB2312" w:hAnsi="仿宋_GB2312" w:cs="宋体"/>
                <w:color w:val="000000"/>
                <w:kern w:val="0"/>
                <w:sz w:val="16"/>
                <w:szCs w:val="16"/>
              </w:rPr>
              <w:t>1</w:t>
            </w:r>
            <w:r>
              <w:rPr>
                <w:rFonts w:ascii="仿宋_GB2312" w:hAnsi="仿宋_GB2312" w:cs="宋体"/>
                <w:color w:val="000000"/>
                <w:kern w:val="0"/>
                <w:sz w:val="16"/>
                <w:szCs w:val="16"/>
              </w:rPr>
              <w:t>、催告：《行政强制法》第三十五条　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r>
              <w:rPr>
                <w:rFonts w:ascii="仿宋_GB2312" w:hAnsi="仿宋_GB2312" w:cs="宋体"/>
                <w:color w:val="000000"/>
                <w:kern w:val="0"/>
                <w:sz w:val="16"/>
                <w:szCs w:val="16"/>
              </w:rPr>
              <w:br/>
              <w:t xml:space="preserve">    2</w:t>
            </w:r>
            <w:r>
              <w:rPr>
                <w:rFonts w:ascii="仿宋_GB2312" w:hAnsi="仿宋_GB2312" w:cs="宋体"/>
                <w:color w:val="000000"/>
                <w:kern w:val="0"/>
                <w:sz w:val="16"/>
                <w:szCs w:val="16"/>
              </w:rPr>
              <w:t>、决定：《行政强制法》第三十六条　当事人收到催告书后有权进行陈述和申辩。行政机关应当充分听取当事人的意见，对当事人提出的事实、理由和证据，应当进行记录、复核。当事人提出的事实、理由或者证据成立的，行政机关应当采纳。</w:t>
            </w:r>
            <w:r>
              <w:rPr>
                <w:rFonts w:ascii="仿宋_GB2312" w:hAnsi="仿宋_GB2312" w:cs="宋体"/>
                <w:color w:val="000000"/>
                <w:kern w:val="0"/>
                <w:sz w:val="16"/>
                <w:szCs w:val="16"/>
              </w:rPr>
              <w:br/>
            </w:r>
            <w:r>
              <w:rPr>
                <w:rFonts w:ascii="Arial" w:hAnsi="Arial" w:cs="Arial"/>
                <w:color w:val="000000"/>
                <w:kern w:val="0"/>
                <w:sz w:val="16"/>
                <w:szCs w:val="16"/>
              </w:rPr>
              <w:t>    </w:t>
            </w:r>
            <w:r>
              <w:rPr>
                <w:rFonts w:ascii="仿宋_GB2312" w:hAnsi="仿宋_GB2312" w:cs="宋体"/>
                <w:color w:val="000000"/>
                <w:kern w:val="0"/>
                <w:sz w:val="16"/>
                <w:szCs w:val="16"/>
              </w:rPr>
              <w:t xml:space="preserve">第三十七条　</w:t>
            </w:r>
            <w:r>
              <w:rPr>
                <w:rFonts w:ascii="仿宋_GB2312" w:hAnsi="仿宋_GB2312" w:cs="宋体"/>
                <w:color w:val="000000"/>
                <w:kern w:val="0"/>
                <w:sz w:val="16"/>
                <w:szCs w:val="16"/>
              </w:rPr>
              <w:t>经催告，当事人逾期仍不履行行政决定，且无正当理由的，行政机关可以作出强制执行决定。</w:t>
            </w:r>
            <w:r>
              <w:rPr>
                <w:rFonts w:ascii="仿宋_GB2312" w:hAnsi="仿宋_GB2312" w:cs="宋体"/>
                <w:color w:val="000000"/>
                <w:kern w:val="0"/>
                <w:sz w:val="16"/>
                <w:szCs w:val="16"/>
              </w:rPr>
              <w:br/>
              <w:t xml:space="preserve">    3</w:t>
            </w:r>
            <w:r>
              <w:rPr>
                <w:rFonts w:ascii="仿宋_GB2312" w:hAnsi="仿宋_GB2312" w:cs="宋体"/>
                <w:color w:val="000000"/>
                <w:kern w:val="0"/>
                <w:sz w:val="16"/>
                <w:szCs w:val="16"/>
              </w:rPr>
              <w:t>、送达：《行政强制法》第三十八条　催告书、行政强制执行决定书应当直接送达当事人。当事人拒绝接收或者无法直接送达当事人的，应当依照《中华人民共和国民事诉讼法》的有关规定送达。</w:t>
            </w:r>
            <w:r>
              <w:rPr>
                <w:rFonts w:ascii="仿宋_GB2312" w:hAnsi="仿宋_GB2312" w:cs="宋体"/>
                <w:color w:val="000000"/>
                <w:kern w:val="0"/>
                <w:sz w:val="16"/>
                <w:szCs w:val="16"/>
              </w:rPr>
              <w:br/>
              <w:t xml:space="preserve">    4</w:t>
            </w:r>
            <w:r>
              <w:rPr>
                <w:rFonts w:ascii="仿宋_GB2312" w:hAnsi="仿宋_GB2312" w:cs="宋体"/>
                <w:color w:val="000000"/>
                <w:kern w:val="0"/>
                <w:sz w:val="16"/>
                <w:szCs w:val="16"/>
              </w:rPr>
              <w:t>、执行：第四十二条　实施行政强制执行，行政机关可以在不损害公共利益和他人合法权益的情况下，与当事人达成执行协议。执行协议可以约定分阶段履行；当事人采取补救措施的，可以减免加处的罚款或者滞纳金。</w:t>
            </w:r>
            <w:r>
              <w:rPr>
                <w:rFonts w:ascii="Arial" w:hAnsi="Arial" w:cs="Arial"/>
                <w:color w:val="000000"/>
                <w:kern w:val="0"/>
                <w:sz w:val="16"/>
                <w:szCs w:val="16"/>
              </w:rPr>
              <w:t> </w:t>
            </w:r>
            <w:r>
              <w:rPr>
                <w:rFonts w:ascii="仿宋_GB2312" w:hAnsi="仿宋_GB2312" w:cs="宋体"/>
                <w:color w:val="000000"/>
                <w:kern w:val="0"/>
                <w:sz w:val="16"/>
                <w:szCs w:val="16"/>
              </w:rPr>
              <w:t>执行协议应当履行。当事人不履行执行协议的</w:t>
            </w:r>
            <w:r>
              <w:rPr>
                <w:rFonts w:ascii="仿宋_GB2312" w:hAnsi="仿宋_GB2312" w:cs="宋体"/>
                <w:color w:val="000000"/>
                <w:kern w:val="0"/>
                <w:sz w:val="16"/>
                <w:szCs w:val="16"/>
              </w:rPr>
              <w:t>，行政机关应当恢复强制执行。</w:t>
            </w:r>
          </w:p>
        </w:tc>
        <w:tc>
          <w:tcPr>
            <w:tcW w:w="4961" w:type="dxa"/>
            <w:tcBorders>
              <w:top w:val="nil"/>
              <w:left w:val="nil"/>
              <w:bottom w:val="single" w:sz="4" w:space="0" w:color="auto"/>
              <w:right w:val="single" w:sz="4" w:space="0" w:color="auto"/>
            </w:tcBorders>
            <w:shd w:val="clear" w:color="auto" w:fill="auto"/>
            <w:noWrap/>
            <w:vAlign w:val="center"/>
          </w:tcPr>
          <w:p w:rsidR="005650C7" w:rsidRDefault="00FF5ADE">
            <w:pPr>
              <w:widowControl/>
              <w:spacing w:line="300" w:lineRule="exact"/>
              <w:jc w:val="left"/>
              <w:rPr>
                <w:rFonts w:ascii="仿宋_GB2312" w:hAnsi="仿宋_GB2312" w:cs="宋体"/>
                <w:color w:val="000000"/>
                <w:kern w:val="0"/>
                <w:sz w:val="16"/>
                <w:szCs w:val="16"/>
              </w:rPr>
            </w:pPr>
            <w:r>
              <w:rPr>
                <w:rFonts w:ascii="仿宋_GB2312" w:hAnsi="仿宋_GB2312" w:cs="宋体"/>
                <w:color w:val="000000"/>
                <w:kern w:val="0"/>
                <w:sz w:val="16"/>
                <w:szCs w:val="16"/>
              </w:rPr>
              <w:t>1</w:t>
            </w:r>
            <w:r>
              <w:rPr>
                <w:rFonts w:ascii="仿宋_GB2312" w:hAnsi="仿宋_GB2312" w:cs="宋体"/>
                <w:color w:val="000000"/>
                <w:kern w:val="0"/>
                <w:sz w:val="16"/>
                <w:szCs w:val="16"/>
              </w:rPr>
              <w:t>、催告：予以公告并责令限期拆除，告知拆除期限、方式和依法享有的陈述权和申辩权。</w:t>
            </w:r>
            <w:r>
              <w:rPr>
                <w:rFonts w:ascii="仿宋_GB2312" w:hAnsi="仿宋_GB2312" w:cs="宋体"/>
                <w:color w:val="000000"/>
                <w:kern w:val="0"/>
                <w:sz w:val="16"/>
                <w:szCs w:val="16"/>
              </w:rPr>
              <w:br/>
              <w:t xml:space="preserve">    2</w:t>
            </w:r>
            <w:r>
              <w:rPr>
                <w:rFonts w:ascii="仿宋_GB2312" w:hAnsi="仿宋_GB2312" w:cs="宋体"/>
                <w:color w:val="000000"/>
                <w:kern w:val="0"/>
                <w:sz w:val="16"/>
                <w:szCs w:val="16"/>
              </w:rPr>
              <w:t>、决定：经催告，当事人逾期仍不履行行政决定，且无正当理由的，行政机关可以作出强制执行决定，当事人陈诉或申辩的事实、理由或者证据成立的，行政机关应当采纳。</w:t>
            </w:r>
            <w:r>
              <w:rPr>
                <w:rFonts w:ascii="仿宋_GB2312" w:hAnsi="仿宋_GB2312" w:cs="宋体"/>
                <w:color w:val="000000"/>
                <w:kern w:val="0"/>
                <w:sz w:val="16"/>
                <w:szCs w:val="16"/>
              </w:rPr>
              <w:br/>
              <w:t xml:space="preserve">    3</w:t>
            </w:r>
            <w:r>
              <w:rPr>
                <w:rFonts w:ascii="仿宋_GB2312" w:hAnsi="仿宋_GB2312" w:cs="宋体"/>
                <w:color w:val="000000"/>
                <w:kern w:val="0"/>
                <w:sz w:val="16"/>
                <w:szCs w:val="16"/>
              </w:rPr>
              <w:t>、送达：送达行政强制执行决定书。当事人拒绝接收或者无法直接送达当事人的，按有关规定送达。</w:t>
            </w:r>
            <w:r>
              <w:rPr>
                <w:rFonts w:ascii="仿宋_GB2312" w:hAnsi="仿宋_GB2312" w:cs="宋体"/>
                <w:color w:val="000000"/>
                <w:kern w:val="0"/>
                <w:sz w:val="16"/>
                <w:szCs w:val="16"/>
              </w:rPr>
              <w:br/>
              <w:t xml:space="preserve">    4</w:t>
            </w:r>
            <w:r>
              <w:rPr>
                <w:rFonts w:ascii="仿宋_GB2312" w:hAnsi="仿宋_GB2312" w:cs="宋体"/>
                <w:color w:val="000000"/>
                <w:kern w:val="0"/>
                <w:sz w:val="16"/>
                <w:szCs w:val="16"/>
              </w:rPr>
              <w:t>、执行：在不损害公共利益和他人合法权益的情况下，与当事人达成执行协议。当事人不履行执行协议的，强制拆除。</w:t>
            </w:r>
            <w:r>
              <w:rPr>
                <w:rFonts w:ascii="仿宋_GB2312" w:hAnsi="仿宋_GB2312" w:cs="宋体"/>
                <w:color w:val="000000"/>
                <w:kern w:val="0"/>
                <w:sz w:val="16"/>
                <w:szCs w:val="16"/>
              </w:rPr>
              <w:br/>
              <w:t xml:space="preserve">    5</w:t>
            </w:r>
            <w:r>
              <w:rPr>
                <w:rFonts w:ascii="仿宋_GB2312" w:hAnsi="仿宋_GB2312" w:cs="宋体"/>
                <w:color w:val="000000"/>
                <w:kern w:val="0"/>
                <w:sz w:val="16"/>
                <w:szCs w:val="16"/>
              </w:rPr>
              <w:t>、事后监管</w:t>
            </w:r>
            <w:r>
              <w:rPr>
                <w:rFonts w:ascii="仿宋_GB2312" w:hAnsi="仿宋_GB2312" w:cs="宋体"/>
                <w:color w:val="000000"/>
                <w:kern w:val="0"/>
                <w:sz w:val="16"/>
                <w:szCs w:val="16"/>
              </w:rPr>
              <w:t>：现场检查停止建设以及改正情况。</w:t>
            </w:r>
            <w:r>
              <w:rPr>
                <w:rFonts w:ascii="仿宋_GB2312" w:hAnsi="仿宋_GB2312" w:cs="宋体"/>
                <w:color w:val="000000"/>
                <w:kern w:val="0"/>
                <w:sz w:val="16"/>
                <w:szCs w:val="16"/>
              </w:rPr>
              <w:br/>
              <w:t xml:space="preserve">    6</w:t>
            </w:r>
            <w:r>
              <w:rPr>
                <w:rFonts w:ascii="仿宋_GB2312" w:hAnsi="仿宋_GB2312" w:cs="宋体"/>
                <w:color w:val="000000"/>
                <w:kern w:val="0"/>
                <w:sz w:val="16"/>
                <w:szCs w:val="16"/>
              </w:rPr>
              <w:t>、其他法律法规政策规定应履行的责任。</w:t>
            </w:r>
          </w:p>
        </w:tc>
      </w:tr>
      <w:bookmarkEnd w:id="0"/>
      <w:tr w:rsidR="005650C7">
        <w:trPr>
          <w:trHeight w:val="2826"/>
        </w:trPr>
        <w:tc>
          <w:tcPr>
            <w:tcW w:w="567" w:type="dxa"/>
            <w:tcBorders>
              <w:top w:val="nil"/>
              <w:left w:val="single" w:sz="4" w:space="0" w:color="auto"/>
              <w:bottom w:val="single" w:sz="4" w:space="0" w:color="auto"/>
              <w:right w:val="single" w:sz="4" w:space="0" w:color="auto"/>
            </w:tcBorders>
            <w:shd w:val="clear" w:color="auto" w:fill="auto"/>
            <w:noWrap/>
            <w:vAlign w:val="center"/>
          </w:tcPr>
          <w:p w:rsidR="005650C7" w:rsidRDefault="00FF5ADE">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lastRenderedPageBreak/>
              <w:t>5</w:t>
            </w:r>
          </w:p>
        </w:tc>
        <w:tc>
          <w:tcPr>
            <w:tcW w:w="851" w:type="dxa"/>
            <w:tcBorders>
              <w:top w:val="nil"/>
              <w:left w:val="nil"/>
              <w:bottom w:val="single" w:sz="4" w:space="0" w:color="auto"/>
              <w:right w:val="nil"/>
            </w:tcBorders>
            <w:shd w:val="clear" w:color="auto" w:fill="auto"/>
            <w:noWrap/>
            <w:vAlign w:val="center"/>
          </w:tcPr>
          <w:p w:rsidR="005650C7" w:rsidRDefault="00FF5ADE">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对村民委员会村务公开情况调查核实</w:t>
            </w: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5650C7" w:rsidRDefault="00FF5ADE">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《中华人民共和国村民委员会组织法》</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第五条　乡、民族乡、镇的人民政府对村民委员会的工作给予指导、支持和帮助，但是不得干预依法属于村民自治范围内的事项。</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第三十一条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c>
          <w:tcPr>
            <w:tcW w:w="4961" w:type="dxa"/>
            <w:tcBorders>
              <w:top w:val="nil"/>
              <w:left w:val="nil"/>
              <w:bottom w:val="single" w:sz="4" w:space="0" w:color="auto"/>
              <w:right w:val="single" w:sz="4" w:space="0" w:color="auto"/>
            </w:tcBorders>
            <w:shd w:val="clear" w:color="auto" w:fill="auto"/>
            <w:noWrap/>
            <w:vAlign w:val="center"/>
          </w:tcPr>
          <w:p w:rsidR="005650C7" w:rsidRDefault="00FF5ADE">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 xml:space="preserve">    1</w:t>
            </w:r>
            <w:r>
              <w:rPr>
                <w:rFonts w:ascii="仿宋_GB2312" w:hAnsi="仿宋_GB2312" w:cs="宋体"/>
                <w:color w:val="000000"/>
                <w:kern w:val="0"/>
                <w:sz w:val="16"/>
                <w:szCs w:val="16"/>
              </w:rPr>
              <w:t>、受理环节责任：对村民反映的问题及时受理。</w:t>
            </w:r>
            <w:r>
              <w:rPr>
                <w:rFonts w:ascii="仿宋_GB2312" w:hAnsi="仿宋_GB2312" w:cs="宋体"/>
                <w:color w:val="000000"/>
                <w:kern w:val="0"/>
                <w:sz w:val="16"/>
                <w:szCs w:val="16"/>
              </w:rPr>
              <w:br/>
              <w:t xml:space="preserve">    2</w:t>
            </w:r>
            <w:r>
              <w:rPr>
                <w:rFonts w:ascii="仿宋_GB2312" w:hAnsi="仿宋_GB2312" w:cs="宋体"/>
                <w:color w:val="000000"/>
                <w:kern w:val="0"/>
                <w:sz w:val="16"/>
                <w:szCs w:val="16"/>
              </w:rPr>
              <w:t>、调查环节责任：对村民反映的问题要实地调查核实。</w:t>
            </w:r>
            <w:r>
              <w:rPr>
                <w:rFonts w:ascii="仿宋_GB2312" w:hAnsi="仿宋_GB2312" w:cs="宋体"/>
                <w:color w:val="000000"/>
                <w:kern w:val="0"/>
                <w:sz w:val="16"/>
                <w:szCs w:val="16"/>
              </w:rPr>
              <w:br/>
              <w:t xml:space="preserve">    3</w:t>
            </w:r>
            <w:r>
              <w:rPr>
                <w:rFonts w:ascii="仿宋_GB2312" w:hAnsi="仿宋_GB2312" w:cs="宋体"/>
                <w:color w:val="000000"/>
                <w:kern w:val="0"/>
                <w:sz w:val="16"/>
                <w:szCs w:val="16"/>
              </w:rPr>
              <w:t>、决定环节责任：调查无问题的要说明情况，调查有问题的要责令其依法公布。</w:t>
            </w:r>
            <w:r>
              <w:rPr>
                <w:rFonts w:ascii="仿宋_GB2312" w:hAnsi="仿宋_GB2312" w:cs="宋体"/>
                <w:color w:val="000000"/>
                <w:kern w:val="0"/>
                <w:sz w:val="16"/>
                <w:szCs w:val="16"/>
              </w:rPr>
              <w:br/>
              <w:t xml:space="preserve">    4</w:t>
            </w:r>
            <w:r>
              <w:rPr>
                <w:rFonts w:ascii="仿宋_GB2312" w:hAnsi="仿宋_GB2312" w:cs="宋体"/>
                <w:color w:val="000000"/>
                <w:kern w:val="0"/>
                <w:sz w:val="16"/>
                <w:szCs w:val="16"/>
              </w:rPr>
              <w:t>、监督环节责任：监督村民委员会按时公开村务情况。</w:t>
            </w:r>
          </w:p>
        </w:tc>
      </w:tr>
      <w:tr w:rsidR="005650C7">
        <w:trPr>
          <w:trHeight w:val="6369"/>
        </w:trPr>
        <w:tc>
          <w:tcPr>
            <w:tcW w:w="567" w:type="dxa"/>
            <w:tcBorders>
              <w:top w:val="nil"/>
              <w:left w:val="single" w:sz="4" w:space="0" w:color="auto"/>
              <w:bottom w:val="single" w:sz="4" w:space="0" w:color="auto"/>
              <w:right w:val="single" w:sz="4" w:space="0" w:color="auto"/>
            </w:tcBorders>
            <w:shd w:val="clear" w:color="auto" w:fill="auto"/>
            <w:noWrap/>
            <w:vAlign w:val="center"/>
          </w:tcPr>
          <w:p w:rsidR="005650C7" w:rsidRDefault="00FF5ADE">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6</w:t>
            </w:r>
          </w:p>
        </w:tc>
        <w:tc>
          <w:tcPr>
            <w:tcW w:w="851" w:type="dxa"/>
            <w:tcBorders>
              <w:top w:val="nil"/>
              <w:left w:val="nil"/>
              <w:bottom w:val="single" w:sz="4" w:space="0" w:color="auto"/>
              <w:right w:val="nil"/>
            </w:tcBorders>
            <w:shd w:val="clear" w:color="auto" w:fill="auto"/>
            <w:noWrap/>
            <w:vAlign w:val="center"/>
          </w:tcPr>
          <w:p w:rsidR="005650C7" w:rsidRDefault="00FF5ADE">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村委会换届工作指导</w:t>
            </w: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5650C7" w:rsidRDefault="00FF5ADE">
            <w:pPr>
              <w:widowControl/>
              <w:ind w:firstLineChars="200" w:firstLine="320"/>
              <w:jc w:val="left"/>
              <w:rPr>
                <w:rFonts w:ascii="仿宋_GB2312" w:hAnsi="仿宋_GB2312" w:cs="宋体"/>
                <w:color w:val="000000"/>
                <w:kern w:val="0"/>
                <w:sz w:val="16"/>
                <w:szCs w:val="16"/>
              </w:rPr>
            </w:pPr>
            <w:r>
              <w:rPr>
                <w:rFonts w:ascii="仿宋_GB2312" w:hAnsi="仿宋_GB2312" w:cs="宋体"/>
                <w:color w:val="000000"/>
                <w:kern w:val="0"/>
                <w:sz w:val="16"/>
                <w:szCs w:val="16"/>
              </w:rPr>
              <w:t>1</w:t>
            </w:r>
            <w:r>
              <w:rPr>
                <w:rFonts w:ascii="仿宋_GB2312" w:hAnsi="仿宋_GB2312" w:cs="宋体"/>
                <w:color w:val="000000"/>
                <w:kern w:val="0"/>
                <w:sz w:val="16"/>
                <w:szCs w:val="16"/>
              </w:rPr>
              <w:t>、成立组织机构责任依据：《村民委员会选举办法》第十条　村民委员会换届选举期间，县（市、区）和乡（镇）应当成立村民委员会换届选举工作领导组。</w:t>
            </w:r>
            <w:r>
              <w:rPr>
                <w:rFonts w:ascii="仿宋_GB2312" w:hAnsi="仿宋_GB2312" w:cs="宋体"/>
                <w:color w:val="000000"/>
                <w:kern w:val="0"/>
                <w:sz w:val="16"/>
                <w:szCs w:val="16"/>
              </w:rPr>
              <w:br/>
              <w:t>2</w:t>
            </w:r>
            <w:r>
              <w:rPr>
                <w:rFonts w:ascii="仿宋_GB2312" w:hAnsi="仿宋_GB2312" w:cs="宋体"/>
                <w:color w:val="000000"/>
                <w:kern w:val="0"/>
                <w:sz w:val="16"/>
                <w:szCs w:val="16"/>
              </w:rPr>
              <w:t>、选举指导责任依据：《村民委员会选举办法》第十条</w:t>
            </w:r>
            <w:r>
              <w:rPr>
                <w:rFonts w:ascii="仿宋_GB2312" w:hAnsi="仿宋_GB2312" w:cs="宋体"/>
                <w:color w:val="000000"/>
                <w:kern w:val="0"/>
                <w:sz w:val="16"/>
                <w:szCs w:val="16"/>
              </w:rPr>
              <w:br/>
            </w:r>
            <w:r>
              <w:rPr>
                <w:rFonts w:ascii="仿宋_GB2312" w:hAnsi="仿宋_GB2312" w:cs="宋体"/>
                <w:color w:val="000000"/>
                <w:kern w:val="0"/>
                <w:sz w:val="16"/>
                <w:szCs w:val="16"/>
              </w:rPr>
              <w:t>村民委员会换届选举工作领导组的主要职责是</w:t>
            </w:r>
            <w:r>
              <w:rPr>
                <w:rFonts w:ascii="仿宋_GB2312" w:hAnsi="仿宋_GB2312" w:cs="宋体"/>
                <w:color w:val="000000"/>
                <w:kern w:val="0"/>
                <w:sz w:val="16"/>
                <w:szCs w:val="16"/>
              </w:rPr>
              <w:t>:</w:t>
            </w:r>
            <w:r>
              <w:rPr>
                <w:rFonts w:ascii="仿宋_GB2312" w:hAnsi="仿宋_GB2312" w:cs="宋体"/>
                <w:color w:val="000000"/>
                <w:kern w:val="0"/>
                <w:sz w:val="16"/>
                <w:szCs w:val="16"/>
              </w:rPr>
              <w:br/>
            </w:r>
            <w:r>
              <w:rPr>
                <w:rFonts w:ascii="仿宋_GB2312" w:hAnsi="仿宋_GB2312" w:cs="宋体"/>
                <w:color w:val="000000"/>
                <w:kern w:val="0"/>
                <w:sz w:val="16"/>
                <w:szCs w:val="16"/>
              </w:rPr>
              <w:t xml:space="preserve">　　（一）宣传有关法律、法规；</w:t>
            </w:r>
            <w:r>
              <w:rPr>
                <w:rFonts w:ascii="仿宋_GB2312" w:hAnsi="仿宋_GB2312" w:cs="宋体"/>
                <w:color w:val="000000"/>
                <w:kern w:val="0"/>
                <w:sz w:val="16"/>
                <w:szCs w:val="16"/>
              </w:rPr>
              <w:br/>
            </w:r>
            <w:r>
              <w:rPr>
                <w:rFonts w:ascii="仿宋_GB2312" w:hAnsi="仿宋_GB2312" w:cs="宋体"/>
                <w:color w:val="000000"/>
                <w:kern w:val="0"/>
                <w:sz w:val="16"/>
                <w:szCs w:val="16"/>
              </w:rPr>
              <w:t xml:space="preserve">　　（二）制定选举工作方案；</w:t>
            </w:r>
            <w:r>
              <w:rPr>
                <w:rFonts w:ascii="仿宋_GB2312" w:hAnsi="仿宋_GB2312" w:cs="宋体"/>
                <w:color w:val="000000"/>
                <w:kern w:val="0"/>
                <w:sz w:val="16"/>
                <w:szCs w:val="16"/>
              </w:rPr>
              <w:br/>
            </w:r>
            <w:r>
              <w:rPr>
                <w:rFonts w:ascii="仿宋_GB2312" w:hAnsi="仿宋_GB2312" w:cs="宋体"/>
                <w:color w:val="000000"/>
                <w:kern w:val="0"/>
                <w:sz w:val="16"/>
                <w:szCs w:val="16"/>
              </w:rPr>
              <w:t xml:space="preserve">　　（三）组织培训选举工作人员；</w:t>
            </w:r>
            <w:r>
              <w:rPr>
                <w:rFonts w:ascii="仿宋_GB2312" w:hAnsi="仿宋_GB2312" w:cs="宋体"/>
                <w:color w:val="000000"/>
                <w:kern w:val="0"/>
                <w:sz w:val="16"/>
                <w:szCs w:val="16"/>
              </w:rPr>
              <w:br/>
            </w:r>
            <w:r>
              <w:rPr>
                <w:rFonts w:ascii="仿宋_GB2312" w:hAnsi="仿宋_GB2312" w:cs="宋体"/>
                <w:color w:val="000000"/>
                <w:kern w:val="0"/>
                <w:sz w:val="16"/>
                <w:szCs w:val="16"/>
              </w:rPr>
              <w:t xml:space="preserve">　　（四）组织、指导选举工作；</w:t>
            </w:r>
            <w:r>
              <w:rPr>
                <w:rFonts w:ascii="仿宋_GB2312" w:hAnsi="仿宋_GB2312" w:cs="宋体"/>
                <w:color w:val="000000"/>
                <w:kern w:val="0"/>
                <w:sz w:val="16"/>
                <w:szCs w:val="16"/>
              </w:rPr>
              <w:br/>
            </w:r>
            <w:r>
              <w:rPr>
                <w:rFonts w:ascii="仿宋_GB2312" w:hAnsi="仿宋_GB2312" w:cs="宋体"/>
                <w:color w:val="000000"/>
                <w:kern w:val="0"/>
                <w:sz w:val="16"/>
                <w:szCs w:val="16"/>
              </w:rPr>
              <w:t xml:space="preserve">　　（六）办理有关选举工作的其他事项。</w:t>
            </w:r>
            <w:r>
              <w:rPr>
                <w:rFonts w:ascii="仿宋_GB2312" w:hAnsi="仿宋_GB2312" w:cs="宋体"/>
                <w:color w:val="000000"/>
                <w:kern w:val="0"/>
                <w:sz w:val="16"/>
                <w:szCs w:val="16"/>
              </w:rPr>
              <w:br/>
            </w:r>
            <w:r>
              <w:rPr>
                <w:rFonts w:ascii="仿宋_GB2312" w:hAnsi="仿宋_GB2312" w:cs="宋体"/>
                <w:color w:val="000000"/>
                <w:kern w:val="0"/>
                <w:sz w:val="16"/>
                <w:szCs w:val="16"/>
              </w:rPr>
              <w:t>第三十四条　选票由乡</w:t>
            </w:r>
            <w:r>
              <w:rPr>
                <w:rFonts w:ascii="仿宋_GB2312" w:hAnsi="仿宋_GB2312" w:cs="宋体"/>
                <w:color w:val="000000"/>
                <w:kern w:val="0"/>
                <w:sz w:val="16"/>
                <w:szCs w:val="16"/>
              </w:rPr>
              <w:t>(</w:t>
            </w:r>
            <w:r>
              <w:rPr>
                <w:rFonts w:ascii="仿宋_GB2312" w:hAnsi="仿宋_GB2312" w:cs="宋体"/>
                <w:color w:val="000000"/>
                <w:kern w:val="0"/>
                <w:sz w:val="16"/>
                <w:szCs w:val="16"/>
              </w:rPr>
              <w:t>镇</w:t>
            </w:r>
            <w:r>
              <w:rPr>
                <w:rFonts w:ascii="仿宋_GB2312" w:hAnsi="仿宋_GB2312" w:cs="宋体"/>
                <w:color w:val="000000"/>
                <w:kern w:val="0"/>
                <w:sz w:val="16"/>
                <w:szCs w:val="16"/>
              </w:rPr>
              <w:t>)</w:t>
            </w:r>
            <w:r>
              <w:rPr>
                <w:rFonts w:ascii="仿宋_GB2312" w:hAnsi="仿宋_GB2312" w:cs="宋体"/>
                <w:color w:val="000000"/>
                <w:kern w:val="0"/>
                <w:sz w:val="16"/>
                <w:szCs w:val="16"/>
              </w:rPr>
              <w:t>人民政府统一印制，加盖村民选举委员会印章或者由村民委员会代章。</w:t>
            </w:r>
            <w:r>
              <w:rPr>
                <w:rFonts w:ascii="仿宋_GB2312" w:hAnsi="仿宋_GB2312" w:cs="宋体"/>
                <w:color w:val="000000"/>
                <w:kern w:val="0"/>
                <w:sz w:val="16"/>
                <w:szCs w:val="16"/>
              </w:rPr>
              <w:br/>
              <w:t>3</w:t>
            </w:r>
            <w:r>
              <w:rPr>
                <w:rFonts w:ascii="仿宋_GB2312" w:hAnsi="仿宋_GB2312" w:cs="宋体"/>
                <w:color w:val="000000"/>
                <w:kern w:val="0"/>
                <w:sz w:val="16"/>
                <w:szCs w:val="16"/>
              </w:rPr>
              <w:t>、选举结果备案责任依据：《村民委员会选举办法》第四十条　选举结束时，村民选举委员会应当封存选票，建立包括封存的选票、选民名单和选举结果报告单等选举资料在内的选举档案，交村民委员会保存，并将选举结果报告单副本报乡</w:t>
            </w:r>
            <w:r>
              <w:rPr>
                <w:rFonts w:ascii="仿宋_GB2312" w:hAnsi="仿宋_GB2312" w:cs="宋体"/>
                <w:color w:val="000000"/>
                <w:kern w:val="0"/>
                <w:sz w:val="16"/>
                <w:szCs w:val="16"/>
              </w:rPr>
              <w:t>(</w:t>
            </w:r>
            <w:r>
              <w:rPr>
                <w:rFonts w:ascii="仿宋_GB2312" w:hAnsi="仿宋_GB2312" w:cs="宋体"/>
                <w:color w:val="000000"/>
                <w:kern w:val="0"/>
                <w:sz w:val="16"/>
                <w:szCs w:val="16"/>
              </w:rPr>
              <w:t>镇</w:t>
            </w:r>
            <w:r>
              <w:rPr>
                <w:rFonts w:ascii="仿宋_GB2312" w:hAnsi="仿宋_GB2312" w:cs="宋体"/>
                <w:color w:val="000000"/>
                <w:kern w:val="0"/>
                <w:sz w:val="16"/>
                <w:szCs w:val="16"/>
              </w:rPr>
              <w:t>)</w:t>
            </w:r>
            <w:r>
              <w:rPr>
                <w:rFonts w:ascii="仿宋_GB2312" w:hAnsi="仿宋_GB2312" w:cs="宋体"/>
                <w:color w:val="000000"/>
                <w:kern w:val="0"/>
                <w:sz w:val="16"/>
                <w:szCs w:val="16"/>
              </w:rPr>
              <w:t>人民政府和县</w:t>
            </w:r>
            <w:r>
              <w:rPr>
                <w:rFonts w:ascii="仿宋_GB2312" w:hAnsi="仿宋_GB2312" w:cs="宋体"/>
                <w:color w:val="000000"/>
                <w:kern w:val="0"/>
                <w:sz w:val="16"/>
                <w:szCs w:val="16"/>
              </w:rPr>
              <w:t>(</w:t>
            </w:r>
            <w:r>
              <w:rPr>
                <w:rFonts w:ascii="仿宋_GB2312" w:hAnsi="仿宋_GB2312" w:cs="宋体"/>
                <w:color w:val="000000"/>
                <w:kern w:val="0"/>
                <w:sz w:val="16"/>
                <w:szCs w:val="16"/>
              </w:rPr>
              <w:t>市、区</w:t>
            </w:r>
            <w:r>
              <w:rPr>
                <w:rFonts w:ascii="仿宋_GB2312" w:hAnsi="仿宋_GB2312" w:cs="宋体"/>
                <w:color w:val="000000"/>
                <w:kern w:val="0"/>
                <w:sz w:val="16"/>
                <w:szCs w:val="16"/>
              </w:rPr>
              <w:t>)</w:t>
            </w:r>
            <w:r>
              <w:rPr>
                <w:rFonts w:ascii="仿宋_GB2312" w:hAnsi="仿宋_GB2312" w:cs="宋体"/>
                <w:color w:val="000000"/>
                <w:kern w:val="0"/>
                <w:sz w:val="16"/>
                <w:szCs w:val="16"/>
              </w:rPr>
              <w:t>人民政府民政部门备案。</w:t>
            </w:r>
            <w:r>
              <w:rPr>
                <w:rFonts w:ascii="仿宋_GB2312" w:hAnsi="仿宋_GB2312" w:cs="宋体"/>
                <w:color w:val="000000"/>
                <w:kern w:val="0"/>
                <w:sz w:val="16"/>
                <w:szCs w:val="16"/>
              </w:rPr>
              <w:br/>
              <w:t>4</w:t>
            </w:r>
            <w:r>
              <w:rPr>
                <w:rFonts w:ascii="仿宋_GB2312" w:hAnsi="仿宋_GB2312" w:cs="宋体"/>
                <w:color w:val="000000"/>
                <w:kern w:val="0"/>
                <w:sz w:val="16"/>
                <w:szCs w:val="16"/>
              </w:rPr>
              <w:t>、监督移交依据：《村民委员会选举办法》</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第四十四条　村民委员会应当在新一届村民委员会产生之日起十日内移交村民委员会印章、办公场所、办公设施和设备、集体财务、</w:t>
            </w:r>
            <w:r>
              <w:rPr>
                <w:rFonts w:ascii="仿宋_GB2312" w:hAnsi="仿宋_GB2312" w:cs="宋体"/>
                <w:color w:val="000000"/>
                <w:kern w:val="0"/>
                <w:sz w:val="16"/>
                <w:szCs w:val="16"/>
              </w:rPr>
              <w:t>账目、固定资产、工作档案、债权债务等。工作移交由村民选举委员会主持，乡</w:t>
            </w:r>
            <w:r>
              <w:rPr>
                <w:rFonts w:ascii="仿宋_GB2312" w:hAnsi="仿宋_GB2312" w:cs="宋体"/>
                <w:color w:val="000000"/>
                <w:kern w:val="0"/>
                <w:sz w:val="16"/>
                <w:szCs w:val="16"/>
              </w:rPr>
              <w:t>(</w:t>
            </w:r>
            <w:r>
              <w:rPr>
                <w:rFonts w:ascii="仿宋_GB2312" w:hAnsi="仿宋_GB2312" w:cs="宋体"/>
                <w:color w:val="000000"/>
                <w:kern w:val="0"/>
                <w:sz w:val="16"/>
                <w:szCs w:val="16"/>
              </w:rPr>
              <w:t>镇</w:t>
            </w:r>
            <w:r>
              <w:rPr>
                <w:rFonts w:ascii="仿宋_GB2312" w:hAnsi="仿宋_GB2312" w:cs="宋体"/>
                <w:color w:val="000000"/>
                <w:kern w:val="0"/>
                <w:sz w:val="16"/>
                <w:szCs w:val="16"/>
              </w:rPr>
              <w:t>)</w:t>
            </w:r>
            <w:r>
              <w:rPr>
                <w:rFonts w:ascii="仿宋_GB2312" w:hAnsi="仿宋_GB2312" w:cs="宋体"/>
                <w:color w:val="000000"/>
                <w:kern w:val="0"/>
                <w:sz w:val="16"/>
                <w:szCs w:val="16"/>
              </w:rPr>
              <w:t>人民政府监督。</w:t>
            </w:r>
            <w:r>
              <w:rPr>
                <w:rFonts w:ascii="仿宋_GB2312" w:hAnsi="仿宋_GB2312" w:cs="宋体"/>
                <w:color w:val="000000"/>
                <w:kern w:val="0"/>
                <w:sz w:val="16"/>
                <w:szCs w:val="16"/>
              </w:rPr>
              <w:br/>
            </w:r>
            <w:r>
              <w:rPr>
                <w:rFonts w:ascii="仿宋_GB2312" w:hAnsi="仿宋_GB2312" w:cs="宋体"/>
                <w:color w:val="000000"/>
                <w:kern w:val="0"/>
                <w:sz w:val="16"/>
                <w:szCs w:val="16"/>
              </w:rPr>
              <w:t>未能在新一届村民委员会产生之日起十日内进行移交的，乡</w:t>
            </w:r>
            <w:r>
              <w:rPr>
                <w:rFonts w:ascii="仿宋_GB2312" w:hAnsi="仿宋_GB2312" w:cs="宋体"/>
                <w:color w:val="000000"/>
                <w:kern w:val="0"/>
                <w:sz w:val="16"/>
                <w:szCs w:val="16"/>
              </w:rPr>
              <w:t>(</w:t>
            </w:r>
            <w:r>
              <w:rPr>
                <w:rFonts w:ascii="仿宋_GB2312" w:hAnsi="仿宋_GB2312" w:cs="宋体"/>
                <w:color w:val="000000"/>
                <w:kern w:val="0"/>
                <w:sz w:val="16"/>
                <w:szCs w:val="16"/>
              </w:rPr>
              <w:t>镇</w:t>
            </w:r>
            <w:r>
              <w:rPr>
                <w:rFonts w:ascii="仿宋_GB2312" w:hAnsi="仿宋_GB2312" w:cs="宋体"/>
                <w:color w:val="000000"/>
                <w:kern w:val="0"/>
                <w:sz w:val="16"/>
                <w:szCs w:val="16"/>
              </w:rPr>
              <w:t>)</w:t>
            </w:r>
            <w:r>
              <w:rPr>
                <w:rFonts w:ascii="仿宋_GB2312" w:hAnsi="仿宋_GB2312" w:cs="宋体"/>
                <w:color w:val="000000"/>
                <w:kern w:val="0"/>
                <w:sz w:val="16"/>
                <w:szCs w:val="16"/>
              </w:rPr>
              <w:t>人民政府应当督促并组织移交。</w:t>
            </w:r>
          </w:p>
        </w:tc>
        <w:tc>
          <w:tcPr>
            <w:tcW w:w="4961" w:type="dxa"/>
            <w:tcBorders>
              <w:top w:val="nil"/>
              <w:left w:val="nil"/>
              <w:bottom w:val="single" w:sz="4" w:space="0" w:color="auto"/>
              <w:right w:val="single" w:sz="4" w:space="0" w:color="auto"/>
            </w:tcBorders>
            <w:shd w:val="clear" w:color="auto" w:fill="auto"/>
            <w:noWrap/>
            <w:vAlign w:val="center"/>
          </w:tcPr>
          <w:p w:rsidR="005650C7" w:rsidRDefault="00FF5ADE">
            <w:pPr>
              <w:widowControl/>
              <w:ind w:leftChars="200" w:left="420"/>
              <w:jc w:val="left"/>
              <w:rPr>
                <w:rFonts w:ascii="仿宋_GB2312" w:hAnsi="仿宋_GB2312" w:cs="宋体"/>
                <w:color w:val="000000"/>
                <w:kern w:val="0"/>
                <w:sz w:val="16"/>
                <w:szCs w:val="16"/>
              </w:rPr>
            </w:pPr>
            <w:r>
              <w:rPr>
                <w:rFonts w:ascii="仿宋_GB2312" w:hAnsi="仿宋_GB2312" w:cs="宋体"/>
                <w:color w:val="000000"/>
                <w:kern w:val="0"/>
                <w:sz w:val="16"/>
                <w:szCs w:val="16"/>
              </w:rPr>
              <w:t>1</w:t>
            </w:r>
            <w:r>
              <w:rPr>
                <w:rFonts w:ascii="仿宋_GB2312" w:hAnsi="仿宋_GB2312" w:cs="宋体"/>
                <w:color w:val="000000"/>
                <w:kern w:val="0"/>
                <w:sz w:val="16"/>
                <w:szCs w:val="16"/>
              </w:rPr>
              <w:t>、成立组织机构责任：成立村民委员会换届选举工作领导组。</w:t>
            </w:r>
            <w:r>
              <w:rPr>
                <w:rFonts w:ascii="仿宋_GB2312" w:hAnsi="仿宋_GB2312" w:cs="宋体"/>
                <w:color w:val="000000"/>
                <w:kern w:val="0"/>
                <w:sz w:val="16"/>
                <w:szCs w:val="16"/>
              </w:rPr>
              <w:br/>
              <w:t>2</w:t>
            </w:r>
            <w:r>
              <w:rPr>
                <w:rFonts w:ascii="仿宋_GB2312" w:hAnsi="仿宋_GB2312" w:cs="宋体"/>
                <w:color w:val="000000"/>
                <w:kern w:val="0"/>
                <w:sz w:val="16"/>
                <w:szCs w:val="16"/>
              </w:rPr>
              <w:t>、选举指导责任：宣传、制定方案、组织培训、印制选票；</w:t>
            </w:r>
            <w:r>
              <w:rPr>
                <w:rFonts w:ascii="仿宋_GB2312" w:hAnsi="仿宋_GB2312" w:cs="宋体"/>
                <w:color w:val="000000"/>
                <w:kern w:val="0"/>
                <w:sz w:val="16"/>
                <w:szCs w:val="16"/>
              </w:rPr>
              <w:br/>
              <w:t>3</w:t>
            </w:r>
            <w:r>
              <w:rPr>
                <w:rFonts w:ascii="仿宋_GB2312" w:hAnsi="仿宋_GB2312" w:cs="宋体"/>
                <w:color w:val="000000"/>
                <w:kern w:val="0"/>
                <w:sz w:val="16"/>
                <w:szCs w:val="16"/>
              </w:rPr>
              <w:t>、选举结果备案责任：备案村民委员会选举上交相关资料；</w:t>
            </w:r>
            <w:r>
              <w:rPr>
                <w:rFonts w:ascii="仿宋_GB2312" w:hAnsi="仿宋_GB2312" w:cs="宋体"/>
                <w:color w:val="000000"/>
                <w:kern w:val="0"/>
                <w:sz w:val="16"/>
                <w:szCs w:val="16"/>
              </w:rPr>
              <w:br/>
              <w:t>4</w:t>
            </w:r>
            <w:r>
              <w:rPr>
                <w:rFonts w:ascii="仿宋_GB2312" w:hAnsi="仿宋_GB2312" w:cs="宋体"/>
                <w:color w:val="000000"/>
                <w:kern w:val="0"/>
                <w:sz w:val="16"/>
                <w:szCs w:val="16"/>
              </w:rPr>
              <w:t>、督促移交责任：督促村民委员会移交工作。</w:t>
            </w:r>
          </w:p>
        </w:tc>
      </w:tr>
      <w:tr w:rsidR="005650C7">
        <w:trPr>
          <w:trHeight w:val="5519"/>
        </w:trPr>
        <w:tc>
          <w:tcPr>
            <w:tcW w:w="567" w:type="dxa"/>
            <w:tcBorders>
              <w:top w:val="nil"/>
              <w:left w:val="single" w:sz="4" w:space="0" w:color="auto"/>
              <w:bottom w:val="single" w:sz="4" w:space="0" w:color="auto"/>
              <w:right w:val="single" w:sz="4" w:space="0" w:color="auto"/>
            </w:tcBorders>
            <w:shd w:val="clear" w:color="auto" w:fill="auto"/>
            <w:noWrap/>
            <w:vAlign w:val="center"/>
          </w:tcPr>
          <w:p w:rsidR="005650C7" w:rsidRDefault="00FF5ADE">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lastRenderedPageBreak/>
              <w:t>7</w:t>
            </w:r>
          </w:p>
        </w:tc>
        <w:tc>
          <w:tcPr>
            <w:tcW w:w="851" w:type="dxa"/>
            <w:tcBorders>
              <w:top w:val="nil"/>
              <w:left w:val="nil"/>
              <w:bottom w:val="single" w:sz="4" w:space="0" w:color="auto"/>
              <w:right w:val="nil"/>
            </w:tcBorders>
            <w:shd w:val="clear" w:color="auto" w:fill="auto"/>
            <w:noWrap/>
            <w:vAlign w:val="center"/>
          </w:tcPr>
          <w:p w:rsidR="005650C7" w:rsidRDefault="00FF5ADE">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在村庄、集镇规划区内的街道、广场、市场和车站等场所修建临时建构筑物和其他设施批准</w:t>
            </w: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5650C7" w:rsidRDefault="00FF5ADE">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《中华人民共和国行政许可法》</w:t>
            </w:r>
            <w:r>
              <w:rPr>
                <w:rFonts w:ascii="仿宋_GB2312" w:hAnsi="仿宋_GB2312" w:cs="宋体"/>
                <w:color w:val="000000"/>
                <w:kern w:val="0"/>
                <w:sz w:val="16"/>
                <w:szCs w:val="16"/>
              </w:rPr>
              <w:br/>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第三十二条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行政机关对申请人提出的行政许可申请，应当根据下列情况分别作出处理：</w:t>
            </w:r>
            <w:r>
              <w:rPr>
                <w:rFonts w:ascii="仿宋_GB2312" w:hAnsi="仿宋_GB2312" w:cs="宋体"/>
                <w:color w:val="000000"/>
                <w:kern w:val="0"/>
                <w:sz w:val="16"/>
                <w:szCs w:val="16"/>
              </w:rPr>
              <w:t>……</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第三十四条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行政机关应当对申请人提交的申请材料进行审查。</w:t>
            </w:r>
            <w:r>
              <w:rPr>
                <w:rFonts w:ascii="仿宋_GB2312" w:hAnsi="仿宋_GB2312" w:cs="宋体"/>
                <w:color w:val="000000"/>
                <w:kern w:val="0"/>
                <w:sz w:val="16"/>
                <w:szCs w:val="16"/>
              </w:rPr>
              <w:br/>
            </w:r>
            <w:r>
              <w:rPr>
                <w:rFonts w:ascii="仿宋_GB2312" w:hAnsi="仿宋_GB2312" w:cs="宋体"/>
                <w:color w:val="000000"/>
                <w:kern w:val="0"/>
                <w:sz w:val="16"/>
                <w:szCs w:val="16"/>
              </w:rPr>
              <w:t>申请人提交的申请材料齐全、符合法定形式，行政机关能够当场作出决定的，应当当场作出书面的行政许可决定。</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第三十六条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行政机关对行政许可申请进行审查时，发现行政许可事项直接关系他人重大利益的，应当告知该利害关系人。申请人、利害关系人有权进行陈述和申辩。行政机关应当听取申请人、利害关系人的意见。</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第三十七条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行政机关对行政许可申请进行审查后，除当场作出行政许可决定的外，应当在法定期限内按照规定程序作出行政许可决定。</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第三十八条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申请人的申请符合法定条件、标准的，行政机关应当依法作出准予行政许可的书面决定。</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第六十一条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行政机关应当建立健全监督制度，通过核查反映被许可人从事行政许可事项活动情况的有关材料，履行</w:t>
            </w:r>
            <w:r>
              <w:rPr>
                <w:rFonts w:ascii="仿宋_GB2312" w:hAnsi="仿宋_GB2312" w:cs="宋体"/>
                <w:color w:val="000000"/>
                <w:kern w:val="0"/>
                <w:sz w:val="16"/>
                <w:szCs w:val="16"/>
              </w:rPr>
              <w:t>监督责任。</w:t>
            </w:r>
          </w:p>
        </w:tc>
        <w:tc>
          <w:tcPr>
            <w:tcW w:w="4961" w:type="dxa"/>
            <w:tcBorders>
              <w:top w:val="nil"/>
              <w:left w:val="nil"/>
              <w:bottom w:val="single" w:sz="4" w:space="0" w:color="auto"/>
              <w:right w:val="single" w:sz="4" w:space="0" w:color="auto"/>
            </w:tcBorders>
            <w:shd w:val="clear" w:color="auto" w:fill="auto"/>
            <w:noWrap/>
            <w:vAlign w:val="center"/>
          </w:tcPr>
          <w:p w:rsidR="005650C7" w:rsidRDefault="00FF5ADE">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 xml:space="preserve">    1</w:t>
            </w:r>
            <w:r>
              <w:rPr>
                <w:rFonts w:ascii="仿宋_GB2312" w:hAnsi="仿宋_GB2312" w:cs="宋体"/>
                <w:color w:val="000000"/>
                <w:kern w:val="0"/>
                <w:sz w:val="16"/>
                <w:szCs w:val="16"/>
              </w:rPr>
              <w:t>、受理环节责任：申请事项属于本行政机关职权范围，向行政机关提出申请，以书面材料上报、符合法定形式，或者申请人按照本行政机关的要求提交全部补正申请材料的，应当受理行政许可申请。</w:t>
            </w:r>
            <w:r>
              <w:rPr>
                <w:rFonts w:ascii="仿宋_GB2312" w:hAnsi="仿宋_GB2312" w:cs="宋体"/>
                <w:color w:val="000000"/>
                <w:kern w:val="0"/>
                <w:sz w:val="16"/>
                <w:szCs w:val="16"/>
              </w:rPr>
              <w:br/>
              <w:t xml:space="preserve">    2</w:t>
            </w:r>
            <w:r>
              <w:rPr>
                <w:rFonts w:ascii="仿宋_GB2312" w:hAnsi="仿宋_GB2312" w:cs="宋体"/>
                <w:color w:val="000000"/>
                <w:kern w:val="0"/>
                <w:sz w:val="16"/>
                <w:szCs w:val="16"/>
              </w:rPr>
              <w:t>、审查环节责任：对申请单位或个人提交的申请材料，根据法定条件和程序需要对申请材料实质内容进行核实的，应当指派两名以上工作人员对申请材料的实质内容进行核查，同时征求利害关系人意见。</w:t>
            </w:r>
            <w:r>
              <w:rPr>
                <w:rFonts w:ascii="仿宋_GB2312" w:hAnsi="仿宋_GB2312" w:cs="宋体"/>
                <w:color w:val="000000"/>
                <w:kern w:val="0"/>
                <w:sz w:val="16"/>
                <w:szCs w:val="16"/>
              </w:rPr>
              <w:br/>
            </w:r>
            <w:r>
              <w:rPr>
                <w:rFonts w:ascii="仿宋_GB2312" w:hAnsi="仿宋_GB2312" w:cs="宋体"/>
                <w:color w:val="000000"/>
                <w:kern w:val="0"/>
                <w:sz w:val="16"/>
                <w:szCs w:val="16"/>
              </w:rPr>
              <w:t xml:space="preserve">    3</w:t>
            </w:r>
            <w:r>
              <w:rPr>
                <w:rFonts w:ascii="仿宋_GB2312" w:hAnsi="仿宋_GB2312" w:cs="宋体"/>
                <w:color w:val="000000"/>
                <w:kern w:val="0"/>
                <w:sz w:val="16"/>
                <w:szCs w:val="16"/>
              </w:rPr>
              <w:t>、决定环节责任：对申请符合规定的，可以当场作出行政许可决定，不予行政许可的书面决定的，应当说明理由并告知申请人享有依法申请行政复议或提起行政诉讼的权利。</w:t>
            </w:r>
            <w:r>
              <w:rPr>
                <w:rFonts w:ascii="仿宋_GB2312" w:hAnsi="仿宋_GB2312" w:cs="宋体"/>
                <w:color w:val="000000"/>
                <w:kern w:val="0"/>
                <w:sz w:val="16"/>
                <w:szCs w:val="16"/>
              </w:rPr>
              <w:br/>
              <w:t xml:space="preserve">    4</w:t>
            </w:r>
            <w:r>
              <w:rPr>
                <w:rFonts w:ascii="仿宋_GB2312" w:hAnsi="仿宋_GB2312" w:cs="宋体"/>
                <w:color w:val="000000"/>
                <w:kern w:val="0"/>
                <w:sz w:val="16"/>
                <w:szCs w:val="16"/>
              </w:rPr>
              <w:t>、</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送达环节责任：将决定书送达申请人，同时在公众场合或行政网站上公示。</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t xml:space="preserve">    5</w:t>
            </w:r>
            <w:r>
              <w:rPr>
                <w:rFonts w:ascii="仿宋_GB2312" w:hAnsi="仿宋_GB2312" w:cs="宋体"/>
                <w:color w:val="000000"/>
                <w:kern w:val="0"/>
                <w:sz w:val="16"/>
                <w:szCs w:val="16"/>
              </w:rPr>
              <w:t>、事后监督责任：加强在村庄、集镇规划区内的街道、广场、市场和车站等场所修建临时建构筑物和其他设施事后监管并将审批表报县相关部门备案。</w:t>
            </w:r>
            <w:r>
              <w:rPr>
                <w:rFonts w:ascii="仿宋_GB2312" w:hAnsi="仿宋_GB2312" w:cs="宋体"/>
                <w:color w:val="000000"/>
                <w:kern w:val="0"/>
                <w:sz w:val="16"/>
                <w:szCs w:val="16"/>
              </w:rPr>
              <w:br/>
              <w:t xml:space="preserve">    6</w:t>
            </w:r>
            <w:r>
              <w:rPr>
                <w:rFonts w:ascii="仿宋_GB2312" w:hAnsi="仿宋_GB2312" w:cs="宋体"/>
                <w:color w:val="000000"/>
                <w:kern w:val="0"/>
                <w:sz w:val="16"/>
                <w:szCs w:val="16"/>
              </w:rPr>
              <w:t>、其他法律法规规章文件规定应履行的责任。</w:t>
            </w:r>
          </w:p>
        </w:tc>
      </w:tr>
      <w:tr w:rsidR="005650C7">
        <w:trPr>
          <w:trHeight w:val="2940"/>
        </w:trPr>
        <w:tc>
          <w:tcPr>
            <w:tcW w:w="567" w:type="dxa"/>
            <w:tcBorders>
              <w:top w:val="nil"/>
              <w:left w:val="single" w:sz="4" w:space="0" w:color="auto"/>
              <w:bottom w:val="single" w:sz="4" w:space="0" w:color="auto"/>
              <w:right w:val="single" w:sz="4" w:space="0" w:color="auto"/>
            </w:tcBorders>
            <w:shd w:val="clear" w:color="auto" w:fill="auto"/>
            <w:noWrap/>
            <w:vAlign w:val="center"/>
          </w:tcPr>
          <w:p w:rsidR="005650C7" w:rsidRDefault="00FF5ADE">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8</w:t>
            </w:r>
          </w:p>
        </w:tc>
        <w:tc>
          <w:tcPr>
            <w:tcW w:w="851" w:type="dxa"/>
            <w:tcBorders>
              <w:top w:val="nil"/>
              <w:left w:val="nil"/>
              <w:bottom w:val="single" w:sz="4" w:space="0" w:color="auto"/>
              <w:right w:val="nil"/>
            </w:tcBorders>
            <w:shd w:val="clear" w:color="auto" w:fill="auto"/>
            <w:noWrap/>
            <w:vAlign w:val="center"/>
          </w:tcPr>
          <w:p w:rsidR="005650C7" w:rsidRDefault="00FF5ADE">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村庄、集镇内的各项建设开工前现场放样、验线</w:t>
            </w: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5650C7" w:rsidRDefault="00FF5ADE">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《村庄和集镇规划建设管理实施办法》</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第十七条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村庄、集镇内的各项建设，须按照下列规定办理开工建设手续：</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（一）生产经营、公共设施、公益事业等建设，持规划选址意见书、用地批准文件和设计图纸到县级人民政府建设行政主管部门办理</w:t>
            </w:r>
            <w:r>
              <w:rPr>
                <w:rFonts w:ascii="仿宋_GB2312" w:hAnsi="仿宋_GB2312" w:cs="宋体"/>
                <w:color w:val="000000"/>
                <w:kern w:val="0"/>
                <w:sz w:val="16"/>
                <w:szCs w:val="16"/>
              </w:rPr>
              <w:t>建设许可证后，由乡级人民政府主管建设的人员到现场放样、验线，方可开工建设。</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（二）住宅建设，由建房单位和个人提出开工申请，经乡级人民政府核查规划选址意见书、用地批准文件和设计图纸，发给建设许可证，派管理建设的人员到现场放样，验线后，方可开工建设。</w:t>
            </w:r>
          </w:p>
        </w:tc>
        <w:tc>
          <w:tcPr>
            <w:tcW w:w="4961" w:type="dxa"/>
            <w:tcBorders>
              <w:top w:val="nil"/>
              <w:left w:val="nil"/>
              <w:bottom w:val="single" w:sz="4" w:space="0" w:color="auto"/>
              <w:right w:val="single" w:sz="4" w:space="0" w:color="auto"/>
            </w:tcBorders>
            <w:shd w:val="clear" w:color="auto" w:fill="auto"/>
            <w:noWrap/>
            <w:vAlign w:val="center"/>
          </w:tcPr>
          <w:p w:rsidR="005650C7" w:rsidRDefault="00FF5ADE">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 xml:space="preserve"> 1</w:t>
            </w:r>
            <w:r>
              <w:rPr>
                <w:rFonts w:ascii="仿宋_GB2312" w:hAnsi="仿宋_GB2312" w:cs="宋体"/>
                <w:color w:val="000000"/>
                <w:kern w:val="0"/>
                <w:sz w:val="16"/>
                <w:szCs w:val="16"/>
              </w:rPr>
              <w:t>、受理环节责任：一次性告知补正材料，依法受理或不予受理（不予受理的书面告知理由）。</w:t>
            </w:r>
            <w:r>
              <w:rPr>
                <w:rFonts w:ascii="仿宋_GB2312" w:hAnsi="仿宋_GB2312" w:cs="宋体"/>
                <w:color w:val="000000"/>
                <w:kern w:val="0"/>
                <w:sz w:val="16"/>
                <w:szCs w:val="16"/>
              </w:rPr>
              <w:br/>
              <w:t xml:space="preserve"> 2</w:t>
            </w:r>
            <w:r>
              <w:rPr>
                <w:rFonts w:ascii="仿宋_GB2312" w:hAnsi="仿宋_GB2312" w:cs="宋体"/>
                <w:color w:val="000000"/>
                <w:kern w:val="0"/>
                <w:sz w:val="16"/>
                <w:szCs w:val="16"/>
              </w:rPr>
              <w:t>、执行环节责任：按照规划选址意见书、用地批准文件和设计图纸，派管理建设的人员到现场放样、验线。</w:t>
            </w:r>
            <w:r>
              <w:rPr>
                <w:rFonts w:ascii="仿宋_GB2312" w:hAnsi="仿宋_GB2312" w:cs="宋体"/>
                <w:color w:val="000000"/>
                <w:kern w:val="0"/>
                <w:sz w:val="16"/>
                <w:szCs w:val="16"/>
              </w:rPr>
              <w:br/>
              <w:t xml:space="preserve"> 3</w:t>
            </w:r>
            <w:r>
              <w:rPr>
                <w:rFonts w:ascii="仿宋_GB2312" w:hAnsi="仿宋_GB2312" w:cs="宋体"/>
                <w:color w:val="000000"/>
                <w:kern w:val="0"/>
                <w:sz w:val="16"/>
                <w:szCs w:val="16"/>
              </w:rPr>
              <w:t>、其他法律法规规章文件规定应履行的责任。</w:t>
            </w:r>
          </w:p>
        </w:tc>
      </w:tr>
    </w:tbl>
    <w:p w:rsidR="005650C7" w:rsidRDefault="005650C7">
      <w:pPr>
        <w:spacing w:line="400" w:lineRule="exact"/>
        <w:rPr>
          <w:rFonts w:ascii="仿宋" w:eastAsia="仿宋" w:hAnsi="仿宋"/>
          <w:sz w:val="32"/>
          <w:szCs w:val="32"/>
        </w:rPr>
      </w:pPr>
    </w:p>
    <w:p w:rsidR="005650C7" w:rsidRDefault="005650C7">
      <w:pPr>
        <w:snapToGrid w:val="0"/>
        <w:spacing w:line="380" w:lineRule="exact"/>
        <w:rPr>
          <w:b/>
          <w:bCs/>
          <w:sz w:val="36"/>
          <w:szCs w:val="36"/>
        </w:rPr>
        <w:sectPr w:rsidR="005650C7">
          <w:pgSz w:w="11906" w:h="16838"/>
          <w:pgMar w:top="1474" w:right="1474" w:bottom="1701" w:left="1474" w:header="851" w:footer="1418" w:gutter="0"/>
          <w:cols w:space="425"/>
          <w:docGrid w:type="lines" w:linePitch="312"/>
        </w:sectPr>
      </w:pPr>
    </w:p>
    <w:tbl>
      <w:tblPr>
        <w:tblW w:w="14520" w:type="dxa"/>
        <w:tblCellMar>
          <w:left w:w="0" w:type="dxa"/>
          <w:right w:w="0" w:type="dxa"/>
        </w:tblCellMar>
        <w:tblLook w:val="04A0"/>
      </w:tblPr>
      <w:tblGrid>
        <w:gridCol w:w="795"/>
        <w:gridCol w:w="1543"/>
        <w:gridCol w:w="1730"/>
        <w:gridCol w:w="1917"/>
        <w:gridCol w:w="2291"/>
        <w:gridCol w:w="4257"/>
        <w:gridCol w:w="1988"/>
      </w:tblGrid>
      <w:tr w:rsidR="005650C7">
        <w:trPr>
          <w:trHeight w:val="660"/>
        </w:trPr>
        <w:tc>
          <w:tcPr>
            <w:tcW w:w="14520" w:type="dxa"/>
            <w:gridSpan w:val="7"/>
            <w:tcBorders>
              <w:top w:val="nil"/>
              <w:left w:val="nil"/>
              <w:bottom w:val="nil"/>
              <w:right w:val="nil"/>
            </w:tcBorders>
            <w:noWrap/>
            <w:tcMar>
              <w:top w:w="15" w:type="dxa"/>
              <w:left w:w="15" w:type="dxa"/>
              <w:right w:w="15" w:type="dxa"/>
            </w:tcMar>
            <w:vAlign w:val="bottom"/>
          </w:tcPr>
          <w:p w:rsidR="005650C7" w:rsidRDefault="00FF5ADE" w:rsidP="00CA50F5">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lang/>
              </w:rPr>
              <w:lastRenderedPageBreak/>
              <w:t>附件</w:t>
            </w:r>
            <w:r w:rsidR="00CA50F5">
              <w:rPr>
                <w:rFonts w:ascii="黑体" w:eastAsia="黑体" w:hAnsi="宋体" w:cs="黑体" w:hint="eastAsia"/>
                <w:color w:val="000000"/>
                <w:kern w:val="0"/>
                <w:sz w:val="40"/>
                <w:szCs w:val="40"/>
                <w:lang/>
              </w:rPr>
              <w:t>3</w:t>
            </w:r>
            <w:r>
              <w:rPr>
                <w:rFonts w:ascii="黑体" w:eastAsia="黑体" w:hAnsi="宋体" w:cs="黑体" w:hint="eastAsia"/>
                <w:color w:val="000000"/>
                <w:kern w:val="0"/>
                <w:sz w:val="40"/>
                <w:szCs w:val="40"/>
                <w:lang/>
              </w:rPr>
              <w:t>：执法全过程音像记录事项清单</w:t>
            </w:r>
          </w:p>
        </w:tc>
      </w:tr>
      <w:tr w:rsidR="005650C7">
        <w:trPr>
          <w:trHeight w:val="480"/>
        </w:trPr>
        <w:tc>
          <w:tcPr>
            <w:tcW w:w="0" w:type="auto"/>
            <w:gridSpan w:val="7"/>
            <w:tcBorders>
              <w:top w:val="nil"/>
              <w:left w:val="nil"/>
              <w:bottom w:val="nil"/>
              <w:right w:val="nil"/>
            </w:tcBorders>
            <w:noWrap/>
            <w:tcMar>
              <w:top w:w="15" w:type="dxa"/>
              <w:left w:w="15" w:type="dxa"/>
              <w:right w:w="15" w:type="dxa"/>
            </w:tcMar>
            <w:vAlign w:val="bottom"/>
          </w:tcPr>
          <w:p w:rsidR="005650C7" w:rsidRDefault="00FF5ADE" w:rsidP="00CA50F5">
            <w:pPr>
              <w:widowControl/>
              <w:jc w:val="left"/>
              <w:textAlignment w:val="bottom"/>
              <w:rPr>
                <w:rFonts w:ascii="宋体" w:hAnsi="宋体" w:cs="宋体"/>
                <w:b/>
                <w:color w:val="000000"/>
                <w:sz w:val="24"/>
              </w:rPr>
            </w:pPr>
            <w:r>
              <w:rPr>
                <w:rFonts w:ascii="宋体" w:hAnsi="宋体" w:cs="宋体" w:hint="eastAsia"/>
                <w:b/>
                <w:color w:val="000000"/>
                <w:kern w:val="0"/>
                <w:sz w:val="24"/>
                <w:lang/>
              </w:rPr>
              <w:t>填表单位：</w:t>
            </w:r>
            <w:r>
              <w:rPr>
                <w:rFonts w:ascii="宋体" w:hAnsi="宋体" w:cs="宋体" w:hint="eastAsia"/>
                <w:b/>
                <w:color w:val="000000"/>
                <w:kern w:val="0"/>
                <w:sz w:val="24"/>
                <w:lang/>
              </w:rPr>
              <w:t xml:space="preserve"> </w:t>
            </w:r>
            <w:r>
              <w:rPr>
                <w:rFonts w:ascii="宋体" w:hAnsi="宋体" w:cs="宋体" w:hint="eastAsia"/>
                <w:b/>
                <w:color w:val="000000"/>
                <w:kern w:val="0"/>
                <w:sz w:val="24"/>
                <w:lang/>
              </w:rPr>
              <w:t>龙泉市</w:t>
            </w:r>
            <w:r w:rsidR="00CA50F5">
              <w:rPr>
                <w:rFonts w:ascii="宋体" w:hAnsi="宋体" w:cs="宋体" w:hint="eastAsia"/>
                <w:b/>
                <w:color w:val="000000"/>
                <w:kern w:val="0"/>
                <w:sz w:val="24"/>
                <w:lang/>
              </w:rPr>
              <w:t>龙渊街道办事处</w:t>
            </w:r>
            <w:r>
              <w:rPr>
                <w:rFonts w:ascii="宋体" w:hAnsi="宋体" w:cs="宋体" w:hint="eastAsia"/>
                <w:b/>
                <w:color w:val="000000"/>
                <w:kern w:val="0"/>
                <w:sz w:val="24"/>
                <w:lang/>
              </w:rPr>
              <w:t xml:space="preserve">              </w:t>
            </w:r>
          </w:p>
        </w:tc>
      </w:tr>
      <w:tr w:rsidR="005650C7">
        <w:trPr>
          <w:trHeight w:val="540"/>
        </w:trPr>
        <w:tc>
          <w:tcPr>
            <w:tcW w:w="0" w:type="auto"/>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序号</w:t>
            </w:r>
          </w:p>
        </w:tc>
        <w:tc>
          <w:tcPr>
            <w:tcW w:w="0" w:type="auto"/>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执法类别</w:t>
            </w:r>
          </w:p>
        </w:tc>
        <w:tc>
          <w:tcPr>
            <w:tcW w:w="0" w:type="auto"/>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 </w:t>
            </w:r>
            <w:r>
              <w:rPr>
                <w:rFonts w:ascii="宋体" w:hAnsi="宋体" w:cs="宋体" w:hint="eastAsia"/>
                <w:b/>
                <w:color w:val="000000"/>
                <w:kern w:val="0"/>
                <w:sz w:val="24"/>
                <w:lang/>
              </w:rPr>
              <w:t>记录事项</w:t>
            </w:r>
          </w:p>
        </w:tc>
        <w:tc>
          <w:tcPr>
            <w:tcW w:w="0" w:type="auto"/>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 </w:t>
            </w:r>
            <w:r>
              <w:rPr>
                <w:rFonts w:ascii="宋体" w:hAnsi="宋体" w:cs="宋体" w:hint="eastAsia"/>
                <w:b/>
                <w:color w:val="000000"/>
                <w:kern w:val="0"/>
                <w:sz w:val="24"/>
                <w:lang/>
              </w:rPr>
              <w:t>记录场所</w:t>
            </w:r>
          </w:p>
        </w:tc>
        <w:tc>
          <w:tcPr>
            <w:tcW w:w="0" w:type="auto"/>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记录设备名称</w:t>
            </w:r>
          </w:p>
        </w:tc>
        <w:tc>
          <w:tcPr>
            <w:tcW w:w="0" w:type="auto"/>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记录具体内容</w:t>
            </w:r>
          </w:p>
        </w:tc>
        <w:tc>
          <w:tcPr>
            <w:tcW w:w="1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备注</w:t>
            </w:r>
          </w:p>
        </w:tc>
      </w:tr>
      <w:tr w:rsidR="005650C7">
        <w:trPr>
          <w:trHeight w:val="48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FF5ADE">
            <w:pPr>
              <w:widowControl/>
              <w:jc w:val="left"/>
              <w:textAlignment w:val="bottom"/>
              <w:rPr>
                <w:rFonts w:ascii="宋体" w:hAnsi="宋体" w:cs="宋体"/>
                <w:b/>
                <w:color w:val="000000"/>
                <w:sz w:val="22"/>
                <w:szCs w:val="22"/>
              </w:rPr>
            </w:pPr>
            <w:r>
              <w:rPr>
                <w:rFonts w:ascii="宋体" w:hAnsi="宋体" w:cs="宋体" w:hint="eastAsia"/>
                <w:b/>
                <w:color w:val="000000"/>
                <w:kern w:val="0"/>
                <w:sz w:val="22"/>
                <w:szCs w:val="22"/>
                <w:lang/>
              </w:rPr>
              <w:t>无</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1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5650C7">
            <w:pPr>
              <w:jc w:val="center"/>
              <w:rPr>
                <w:rFonts w:ascii="宋体" w:hAnsi="宋体" w:cs="宋体"/>
                <w:color w:val="000000"/>
                <w:sz w:val="24"/>
              </w:rPr>
            </w:pPr>
          </w:p>
        </w:tc>
      </w:tr>
      <w:tr w:rsidR="005650C7">
        <w:trPr>
          <w:trHeight w:val="49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1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5650C7">
            <w:pPr>
              <w:jc w:val="center"/>
              <w:rPr>
                <w:rFonts w:ascii="仿宋_GB2312" w:eastAsia="仿宋_GB2312" w:hAnsi="宋体" w:cs="仿宋_GB2312"/>
                <w:color w:val="000000"/>
                <w:sz w:val="32"/>
                <w:szCs w:val="32"/>
              </w:rPr>
            </w:pPr>
          </w:p>
        </w:tc>
      </w:tr>
      <w:tr w:rsidR="005650C7">
        <w:trPr>
          <w:trHeight w:val="49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1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5650C7">
            <w:pPr>
              <w:jc w:val="center"/>
              <w:rPr>
                <w:rFonts w:ascii="仿宋_GB2312" w:eastAsia="仿宋_GB2312" w:hAnsi="宋体" w:cs="仿宋_GB2312"/>
                <w:color w:val="000000"/>
                <w:sz w:val="32"/>
                <w:szCs w:val="32"/>
              </w:rPr>
            </w:pPr>
          </w:p>
        </w:tc>
      </w:tr>
      <w:tr w:rsidR="005650C7">
        <w:trPr>
          <w:trHeight w:val="49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1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5650C7">
            <w:pPr>
              <w:jc w:val="center"/>
              <w:rPr>
                <w:rFonts w:ascii="仿宋_GB2312" w:eastAsia="仿宋_GB2312" w:hAnsi="宋体" w:cs="仿宋_GB2312"/>
                <w:color w:val="000000"/>
                <w:sz w:val="32"/>
                <w:szCs w:val="32"/>
              </w:rPr>
            </w:pPr>
          </w:p>
        </w:tc>
      </w:tr>
      <w:tr w:rsidR="005650C7">
        <w:trPr>
          <w:trHeight w:val="499"/>
        </w:trPr>
        <w:tc>
          <w:tcPr>
            <w:tcW w:w="0" w:type="auto"/>
            <w:tcBorders>
              <w:top w:val="nil"/>
              <w:left w:val="nil"/>
              <w:bottom w:val="nil"/>
              <w:right w:val="nil"/>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nil"/>
              <w:left w:val="nil"/>
              <w:bottom w:val="nil"/>
              <w:right w:val="nil"/>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nil"/>
              <w:left w:val="nil"/>
              <w:bottom w:val="nil"/>
              <w:right w:val="nil"/>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nil"/>
              <w:left w:val="nil"/>
              <w:bottom w:val="nil"/>
              <w:right w:val="nil"/>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nil"/>
              <w:left w:val="nil"/>
              <w:bottom w:val="nil"/>
              <w:right w:val="nil"/>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0" w:type="auto"/>
            <w:tcBorders>
              <w:top w:val="nil"/>
              <w:left w:val="nil"/>
              <w:bottom w:val="nil"/>
              <w:right w:val="nil"/>
            </w:tcBorders>
            <w:noWrap/>
            <w:tcMar>
              <w:top w:w="15" w:type="dxa"/>
              <w:left w:w="15" w:type="dxa"/>
              <w:right w:w="15" w:type="dxa"/>
            </w:tcMar>
            <w:vAlign w:val="bottom"/>
          </w:tcPr>
          <w:p w:rsidR="005650C7" w:rsidRDefault="005650C7">
            <w:pPr>
              <w:rPr>
                <w:rFonts w:ascii="宋体" w:hAnsi="宋体" w:cs="宋体"/>
                <w:color w:val="000000"/>
                <w:sz w:val="22"/>
                <w:szCs w:val="22"/>
              </w:rPr>
            </w:pPr>
          </w:p>
        </w:tc>
        <w:tc>
          <w:tcPr>
            <w:tcW w:w="1281" w:type="dxa"/>
            <w:tcBorders>
              <w:top w:val="nil"/>
              <w:left w:val="nil"/>
              <w:bottom w:val="nil"/>
              <w:right w:val="nil"/>
            </w:tcBorders>
            <w:noWrap/>
            <w:tcMar>
              <w:top w:w="15" w:type="dxa"/>
              <w:left w:w="15" w:type="dxa"/>
              <w:right w:w="15" w:type="dxa"/>
            </w:tcMar>
            <w:vAlign w:val="center"/>
          </w:tcPr>
          <w:p w:rsidR="005650C7" w:rsidRDefault="005650C7">
            <w:pPr>
              <w:jc w:val="center"/>
              <w:rPr>
                <w:rFonts w:ascii="仿宋_GB2312" w:eastAsia="仿宋_GB2312" w:hAnsi="宋体" w:cs="仿宋_GB2312"/>
                <w:color w:val="000000"/>
                <w:sz w:val="32"/>
                <w:szCs w:val="32"/>
              </w:rPr>
            </w:pPr>
          </w:p>
        </w:tc>
      </w:tr>
      <w:tr w:rsidR="005650C7">
        <w:trPr>
          <w:trHeight w:val="480"/>
        </w:trPr>
        <w:tc>
          <w:tcPr>
            <w:tcW w:w="0" w:type="auto"/>
            <w:gridSpan w:val="3"/>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已配备音像记录设备清单</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设备名称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件数（件）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2020</w:t>
            </w:r>
            <w:r>
              <w:rPr>
                <w:rFonts w:ascii="宋体" w:hAnsi="宋体" w:cs="宋体" w:hint="eastAsia"/>
                <w:b/>
                <w:color w:val="000000"/>
                <w:kern w:val="0"/>
                <w:sz w:val="24"/>
                <w:lang/>
              </w:rPr>
              <w:t>年度使用次数（次）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FF5ADE">
            <w:pPr>
              <w:widowControl/>
              <w:jc w:val="center"/>
              <w:textAlignment w:val="bottom"/>
              <w:rPr>
                <w:rFonts w:ascii="宋体" w:hAnsi="宋体" w:cs="宋体"/>
                <w:b/>
                <w:color w:val="000000"/>
                <w:sz w:val="24"/>
              </w:rPr>
            </w:pPr>
            <w:r>
              <w:rPr>
                <w:rFonts w:ascii="宋体" w:hAnsi="宋体" w:cs="宋体" w:hint="eastAsia"/>
                <w:b/>
                <w:color w:val="000000"/>
                <w:kern w:val="0"/>
                <w:sz w:val="24"/>
                <w:lang/>
              </w:rPr>
              <w:t>备注</w:t>
            </w:r>
          </w:p>
        </w:tc>
      </w:tr>
      <w:tr w:rsidR="005650C7">
        <w:trPr>
          <w:trHeight w:val="480"/>
        </w:trPr>
        <w:tc>
          <w:tcPr>
            <w:tcW w:w="0" w:type="auto"/>
            <w:gridSpan w:val="3"/>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5650C7">
            <w:pPr>
              <w:jc w:val="center"/>
              <w:rPr>
                <w:rFonts w:ascii="宋体" w:hAnsi="宋体" w:cs="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执法记录仪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CA50F5">
            <w:pPr>
              <w:widowControl/>
              <w:jc w:val="center"/>
              <w:textAlignment w:val="center"/>
              <w:rPr>
                <w:rFonts w:ascii="宋体" w:hAnsi="宋体" w:cs="宋体"/>
                <w:b/>
                <w:color w:val="000000"/>
                <w:sz w:val="24"/>
              </w:rPr>
            </w:pPr>
            <w:r>
              <w:rPr>
                <w:rFonts w:ascii="宋体" w:hAnsi="宋体" w:cs="宋体" w:hint="eastAsia"/>
                <w:b/>
                <w:color w:val="000000"/>
                <w:kern w:val="0"/>
                <w:sz w:val="24"/>
                <w:lang/>
              </w:rPr>
              <w:t>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0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b/>
                <w:color w:val="000000"/>
                <w:sz w:val="24"/>
              </w:rPr>
            </w:pPr>
          </w:p>
        </w:tc>
      </w:tr>
      <w:tr w:rsidR="005650C7">
        <w:trPr>
          <w:trHeight w:val="480"/>
        </w:trPr>
        <w:tc>
          <w:tcPr>
            <w:tcW w:w="0" w:type="auto"/>
            <w:gridSpan w:val="3"/>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5650C7">
            <w:pPr>
              <w:jc w:val="center"/>
              <w:rPr>
                <w:rFonts w:ascii="宋体" w:hAnsi="宋体" w:cs="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照相机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 </w:t>
            </w:r>
            <w:r>
              <w:rPr>
                <w:rFonts w:ascii="宋体" w:hAnsi="宋体" w:cs="宋体" w:hint="eastAsia"/>
                <w:b/>
                <w:color w:val="000000"/>
                <w:kern w:val="0"/>
                <w:sz w:val="24"/>
                <w:lang/>
              </w:rPr>
              <w:t>无</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5650C7">
            <w:pPr>
              <w:jc w:val="center"/>
              <w:rPr>
                <w:rFonts w:ascii="宋体" w:hAnsi="宋体" w:cs="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b/>
                <w:color w:val="000000"/>
                <w:sz w:val="24"/>
              </w:rPr>
            </w:pPr>
          </w:p>
        </w:tc>
      </w:tr>
      <w:tr w:rsidR="005650C7">
        <w:trPr>
          <w:trHeight w:val="480"/>
        </w:trPr>
        <w:tc>
          <w:tcPr>
            <w:tcW w:w="0" w:type="auto"/>
            <w:gridSpan w:val="3"/>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5650C7">
            <w:pPr>
              <w:jc w:val="center"/>
              <w:rPr>
                <w:rFonts w:ascii="宋体" w:hAnsi="宋体" w:cs="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其他</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 </w:t>
            </w:r>
            <w:r>
              <w:rPr>
                <w:rFonts w:ascii="宋体" w:hAnsi="宋体" w:cs="宋体" w:hint="eastAsia"/>
                <w:b/>
                <w:color w:val="000000"/>
                <w:kern w:val="0"/>
                <w:sz w:val="24"/>
                <w:lang/>
              </w:rPr>
              <w:t>无</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5650C7">
            <w:pPr>
              <w:jc w:val="center"/>
              <w:rPr>
                <w:rFonts w:ascii="宋体" w:hAnsi="宋体" w:cs="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b/>
                <w:color w:val="000000"/>
                <w:sz w:val="24"/>
              </w:rPr>
            </w:pPr>
          </w:p>
        </w:tc>
      </w:tr>
      <w:tr w:rsidR="005650C7">
        <w:trPr>
          <w:trHeight w:val="480"/>
        </w:trPr>
        <w:tc>
          <w:tcPr>
            <w:tcW w:w="0" w:type="auto"/>
            <w:gridSpan w:val="3"/>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5650C7">
            <w:pPr>
              <w:jc w:val="center"/>
              <w:rPr>
                <w:rFonts w:ascii="宋体" w:hAnsi="宋体" w:cs="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FF5ADE">
            <w:pPr>
              <w:widowControl/>
              <w:jc w:val="center"/>
              <w:textAlignment w:val="center"/>
              <w:rPr>
                <w:rFonts w:ascii="宋体" w:hAnsi="宋体" w:cs="宋体"/>
                <w:b/>
                <w:color w:val="000000"/>
                <w:sz w:val="24"/>
              </w:rPr>
            </w:pPr>
            <w:r>
              <w:rPr>
                <w:rFonts w:ascii="宋体" w:hAnsi="宋体" w:cs="宋体" w:hint="eastAsia"/>
                <w:b/>
                <w:color w:val="000000"/>
                <w:kern w:val="0"/>
                <w:sz w:val="24"/>
                <w:lang/>
              </w:rPr>
              <w:t>合计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CA50F5">
            <w:pPr>
              <w:jc w:val="center"/>
              <w:rPr>
                <w:rFonts w:ascii="宋体" w:hAnsi="宋体" w:cs="宋体"/>
                <w:b/>
                <w:color w:val="000000"/>
                <w:sz w:val="24"/>
              </w:rPr>
            </w:pPr>
            <w:r>
              <w:rPr>
                <w:rFonts w:ascii="宋体" w:hAnsi="宋体" w:cs="宋体" w:hint="eastAsia"/>
                <w:b/>
                <w:color w:val="000000"/>
                <w:sz w:val="24"/>
              </w:rPr>
              <w:t>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650C7" w:rsidRDefault="00FF5ADE">
            <w:pPr>
              <w:jc w:val="center"/>
              <w:rPr>
                <w:rFonts w:ascii="宋体" w:hAnsi="宋体" w:cs="宋体"/>
                <w:b/>
                <w:color w:val="000000"/>
                <w:sz w:val="24"/>
              </w:rPr>
            </w:pPr>
            <w:r>
              <w:rPr>
                <w:rFonts w:ascii="宋体" w:hAnsi="宋体" w:cs="宋体" w:hint="eastAsia"/>
                <w:b/>
                <w:color w:val="000000"/>
                <w:sz w:val="24"/>
              </w:rPr>
              <w:t>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650C7" w:rsidRDefault="005650C7">
            <w:pPr>
              <w:rPr>
                <w:rFonts w:ascii="宋体" w:hAnsi="宋体" w:cs="宋体"/>
                <w:b/>
                <w:color w:val="000000"/>
                <w:sz w:val="24"/>
              </w:rPr>
            </w:pPr>
          </w:p>
        </w:tc>
      </w:tr>
    </w:tbl>
    <w:p w:rsidR="005650C7" w:rsidRDefault="005650C7">
      <w:pPr>
        <w:snapToGrid w:val="0"/>
        <w:spacing w:line="380" w:lineRule="exact"/>
        <w:rPr>
          <w:b/>
          <w:bCs/>
          <w:sz w:val="36"/>
          <w:szCs w:val="36"/>
        </w:rPr>
      </w:pPr>
    </w:p>
    <w:sectPr w:rsidR="005650C7" w:rsidSect="005650C7">
      <w:pgSz w:w="16838" w:h="11906" w:orient="landscape"/>
      <w:pgMar w:top="1474" w:right="1474" w:bottom="1474" w:left="170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ADE" w:rsidRDefault="00FF5ADE" w:rsidP="005650C7">
      <w:r>
        <w:separator/>
      </w:r>
    </w:p>
  </w:endnote>
  <w:endnote w:type="continuationSeparator" w:id="1">
    <w:p w:rsidR="00FF5ADE" w:rsidRDefault="00FF5ADE" w:rsidP="00565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C7" w:rsidRDefault="005650C7">
    <w:pPr>
      <w:pStyle w:val="a3"/>
      <w:framePr w:wrap="around" w:vAnchor="text" w:hAnchor="margin" w:xAlign="center" w:y="1"/>
      <w:rPr>
        <w:rStyle w:val="a5"/>
      </w:rPr>
    </w:pPr>
    <w:r>
      <w:rPr>
        <w:rStyle w:val="a5"/>
      </w:rPr>
      <w:fldChar w:fldCharType="begin"/>
    </w:r>
    <w:r w:rsidR="00FF5ADE">
      <w:rPr>
        <w:rStyle w:val="a5"/>
      </w:rPr>
      <w:instrText xml:space="preserve">PAGE  </w:instrText>
    </w:r>
    <w:r>
      <w:rPr>
        <w:rStyle w:val="a5"/>
      </w:rPr>
      <w:fldChar w:fldCharType="end"/>
    </w:r>
  </w:p>
  <w:p w:rsidR="005650C7" w:rsidRDefault="005650C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ADE" w:rsidRDefault="00FF5ADE" w:rsidP="005650C7">
      <w:r>
        <w:separator/>
      </w:r>
    </w:p>
  </w:footnote>
  <w:footnote w:type="continuationSeparator" w:id="1">
    <w:p w:rsidR="00FF5ADE" w:rsidRDefault="00FF5ADE" w:rsidP="00565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C7" w:rsidRDefault="005650C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3E445C5"/>
    <w:rsid w:val="005349A6"/>
    <w:rsid w:val="005650C7"/>
    <w:rsid w:val="00CA50F5"/>
    <w:rsid w:val="00D05DCB"/>
    <w:rsid w:val="00FF5ADE"/>
    <w:rsid w:val="0CB66F6E"/>
    <w:rsid w:val="1AB41E06"/>
    <w:rsid w:val="262908F9"/>
    <w:rsid w:val="33BB7CEF"/>
    <w:rsid w:val="3AD94CE1"/>
    <w:rsid w:val="4DE46A51"/>
    <w:rsid w:val="4E016A23"/>
    <w:rsid w:val="51E80ED4"/>
    <w:rsid w:val="58117932"/>
    <w:rsid w:val="5E0F69D5"/>
    <w:rsid w:val="5FCC70FE"/>
    <w:rsid w:val="63E445C5"/>
    <w:rsid w:val="69C9028B"/>
    <w:rsid w:val="79D17F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0C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650C7"/>
    <w:pPr>
      <w:tabs>
        <w:tab w:val="center" w:pos="4153"/>
        <w:tab w:val="right" w:pos="8306"/>
      </w:tabs>
      <w:snapToGrid w:val="0"/>
      <w:jc w:val="left"/>
    </w:pPr>
    <w:rPr>
      <w:sz w:val="18"/>
      <w:szCs w:val="18"/>
    </w:rPr>
  </w:style>
  <w:style w:type="paragraph" w:styleId="a4">
    <w:name w:val="header"/>
    <w:basedOn w:val="a"/>
    <w:qFormat/>
    <w:rsid w:val="005650C7"/>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5650C7"/>
  </w:style>
  <w:style w:type="paragraph" w:styleId="a6">
    <w:name w:val="Balloon Text"/>
    <w:basedOn w:val="a"/>
    <w:link w:val="Char"/>
    <w:rsid w:val="00CA50F5"/>
    <w:rPr>
      <w:sz w:val="18"/>
      <w:szCs w:val="18"/>
    </w:rPr>
  </w:style>
  <w:style w:type="character" w:customStyle="1" w:styleId="Char">
    <w:name w:val="批注框文本 Char"/>
    <w:basedOn w:val="a0"/>
    <w:link w:val="a6"/>
    <w:rsid w:val="00CA50F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cp:lastPrinted>2020-11-25T02:47:00Z</cp:lastPrinted>
  <dcterms:created xsi:type="dcterms:W3CDTF">2019-06-20T05:46:00Z</dcterms:created>
  <dcterms:modified xsi:type="dcterms:W3CDTF">2021-03-08T02:41:00Z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