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关于划定</w:t>
      </w:r>
      <w:r>
        <w:rPr>
          <w:rFonts w:hint="eastAsia" w:ascii="方正小标宋简体" w:hAnsi="方正小标宋简体" w:eastAsia="方正小标宋简体" w:cs="方正小标宋简体"/>
          <w:color w:val="000000"/>
          <w:kern w:val="0"/>
          <w:sz w:val="44"/>
          <w:szCs w:val="44"/>
          <w:lang w:val="en-US" w:eastAsia="zh-CN" w:bidi="ar"/>
        </w:rPr>
        <w:t>龙泉市</w:t>
      </w:r>
      <w:r>
        <w:rPr>
          <w:rFonts w:ascii="方正小标宋简体" w:hAnsi="方正小标宋简体" w:eastAsia="方正小标宋简体" w:cs="方正小标宋简体"/>
          <w:color w:val="000000"/>
          <w:kern w:val="0"/>
          <w:sz w:val="44"/>
          <w:szCs w:val="44"/>
          <w:lang w:val="en-US" w:eastAsia="zh-CN" w:bidi="ar"/>
        </w:rPr>
        <w:t>城镇燃气设施安全</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保护范围的通告</w:t>
      </w:r>
    </w:p>
    <w:p>
      <w:pPr>
        <w:keepNext w:val="0"/>
        <w:keepLines w:val="0"/>
        <w:pageBreakBefore w:val="0"/>
        <w:widowControl/>
        <w:suppressLineNumbers w:val="0"/>
        <w:kinsoku/>
        <w:wordWrap/>
        <w:overflowPunct/>
        <w:topLinePunct w:val="0"/>
        <w:autoSpaceDE/>
        <w:autoSpaceDN/>
        <w:bidi w:val="0"/>
        <w:adjustRightInd/>
        <w:snapToGrid/>
        <w:ind w:firstLine="621" w:firstLineChars="200"/>
        <w:jc w:val="left"/>
        <w:textAlignment w:val="auto"/>
      </w:pPr>
      <w:r>
        <w:rPr>
          <w:rFonts w:ascii="楷体_GB2312" w:hAnsi="宋体" w:eastAsia="楷体_GB2312" w:cs="楷体_GB2312"/>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ascii="仿宋_GB2312" w:hAnsi="宋体" w:eastAsia="仿宋_GB2312" w:cs="仿宋_GB2312"/>
          <w:color w:val="000000"/>
          <w:kern w:val="0"/>
          <w:sz w:val="32"/>
          <w:szCs w:val="32"/>
          <w:lang w:val="en-US" w:eastAsia="zh-CN" w:bidi="ar"/>
        </w:rPr>
        <w:t>为了加强</w:t>
      </w:r>
      <w:r>
        <w:rPr>
          <w:rFonts w:ascii="仿宋_GB2312" w:hAnsi="宋体" w:eastAsia="仿宋_GB2312" w:cs="仿宋_GB2312"/>
          <w:color w:val="000000"/>
          <w:kern w:val="0"/>
          <w:sz w:val="32"/>
          <w:szCs w:val="32"/>
          <w:lang w:eastAsia="zh-CN" w:bidi="ar"/>
          <w:woUserID w:val="1"/>
        </w:rPr>
        <w:t>市</w:t>
      </w:r>
      <w:r>
        <w:rPr>
          <w:rFonts w:ascii="仿宋_GB2312" w:hAnsi="宋体" w:eastAsia="仿宋_GB2312" w:cs="仿宋_GB2312"/>
          <w:color w:val="000000"/>
          <w:kern w:val="0"/>
          <w:sz w:val="32"/>
          <w:szCs w:val="32"/>
          <w:lang w:val="en-US" w:eastAsia="zh-CN" w:bidi="ar"/>
        </w:rPr>
        <w:t>域城镇燃气安全正常运行和燃气设施安全保护</w:t>
      </w:r>
      <w:r>
        <w:rPr>
          <w:rFonts w:hint="eastAsia" w:ascii="仿宋_GB2312" w:hAnsi="宋体" w:eastAsia="仿宋_GB2312" w:cs="仿宋_GB2312"/>
          <w:color w:val="000000"/>
          <w:kern w:val="0"/>
          <w:sz w:val="32"/>
          <w:szCs w:val="32"/>
          <w:lang w:val="en-US" w:eastAsia="zh-CN" w:bidi="ar"/>
        </w:rPr>
        <w:t>工作，保证燃气平稳供应，保障社会公共安全，根据《中华人民共和国安全生产法》《城镇燃气管理条例》《浙江省燃气管理条例》 等法律法规和相关技术规范，结合本</w:t>
      </w:r>
      <w:r>
        <w:rPr>
          <w:rFonts w:ascii="仿宋_GB2312" w:hAnsi="宋体" w:eastAsia="仿宋_GB2312" w:cs="仿宋_GB2312"/>
          <w:color w:val="000000"/>
          <w:kern w:val="0"/>
          <w:sz w:val="32"/>
          <w:szCs w:val="32"/>
          <w:lang w:eastAsia="zh-CN" w:bidi="ar"/>
          <w:woUserID w:val="1"/>
        </w:rPr>
        <w:t>市</w:t>
      </w:r>
      <w:r>
        <w:rPr>
          <w:rFonts w:hint="eastAsia" w:ascii="仿宋_GB2312" w:hAnsi="宋体" w:eastAsia="仿宋_GB2312" w:cs="仿宋_GB2312"/>
          <w:color w:val="000000"/>
          <w:kern w:val="0"/>
          <w:sz w:val="32"/>
          <w:szCs w:val="32"/>
          <w:lang w:val="en-US" w:eastAsia="zh-CN" w:bidi="ar"/>
        </w:rPr>
        <w:t>实际，划定我</w:t>
      </w:r>
      <w:r>
        <w:rPr>
          <w:rFonts w:ascii="仿宋_GB2312" w:hAnsi="宋体" w:eastAsia="仿宋_GB2312" w:cs="仿宋_GB2312"/>
          <w:color w:val="000000"/>
          <w:kern w:val="0"/>
          <w:sz w:val="32"/>
          <w:szCs w:val="32"/>
          <w:lang w:eastAsia="zh-CN" w:bidi="ar"/>
          <w:woUserID w:val="1"/>
        </w:rPr>
        <w:t>市</w:t>
      </w:r>
      <w:r>
        <w:rPr>
          <w:rFonts w:hint="eastAsia" w:ascii="仿宋_GB2312" w:hAnsi="宋体" w:eastAsia="仿宋_GB2312" w:cs="仿宋_GB2312"/>
          <w:color w:val="000000"/>
          <w:kern w:val="0"/>
          <w:sz w:val="32"/>
          <w:szCs w:val="32"/>
          <w:lang w:val="en-US" w:eastAsia="zh-CN" w:bidi="ar"/>
        </w:rPr>
        <w:t>燃气设施</w:t>
      </w:r>
      <w:bookmarkStart w:id="0" w:name="_GoBack"/>
      <w:bookmarkEnd w:id="0"/>
      <w:r>
        <w:rPr>
          <w:rFonts w:hint="eastAsia" w:ascii="仿宋_GB2312" w:hAnsi="宋体" w:eastAsia="仿宋_GB2312" w:cs="仿宋_GB2312"/>
          <w:color w:val="000000"/>
          <w:kern w:val="0"/>
          <w:sz w:val="32"/>
          <w:szCs w:val="32"/>
          <w:lang w:val="en-US" w:eastAsia="zh-CN" w:bidi="ar"/>
        </w:rPr>
        <w:t xml:space="preserve">的安全保护范围，现将有关事项通告如下：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一、城镇燃气设施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城镇燃气设施是指，用于城镇燃气储存、输配和应用的场站、管道及用户设施，包括市政燃气工程、建筑区划内业主专有部分 以外的燃气设施以及户内燃气设施等。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二、燃气设施保护范围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（一）燃气场站的安全保护范围为瓶装液化石油气充装站、液化石油气供应站、天然气门站、燃气调压站等各类燃气场站的安全警示线内的区域。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（二）燃气管道设施的安全保护范围为：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1.低压管道的管壁两侧 1 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2.中压管道的管壁两侧 1.5 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3.高压、次高压管道的管壁两侧 5 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4.燃气入口压力为中、低压的，无围墙且露天设计（在室外）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的调压装置外壁各 1 米内；燃气入口压力为次高压的，无围墙且露天设计（在室外）的调压装置外壁各3米内；燃气入口压力为高压及高压以上的，无围墙且露天设计（在室外）的调压装置外壁各5米内。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（三）燃气管道设施的安全控制范围：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1.低压管道的管壁两侧2米范围内的区域；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2.中压管道的管壁两侧5米范围内的区域；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3.高压、次高压管道的管壁两侧15米范围内的区域；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4.燃气入口压力为中、低压的，无围墙且露天设计（在室外）的调压装置外壁各5米内；燃气入口压力为次高压的，无围墙且露天设计（在室外）的调压装置外壁各 10 米内；燃气入口压力为高压及高压以上的，无围墙且露天设计（在室外）的调压装置外壁各15米内。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（四）相关法律、法规及技术标准对涉及燃气设施的相关行为有更严格规定的，依照其规定对燃气设施实施保护。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三、根据《城镇燃气管理条例》《浙江省燃气管理条例》《燃气工程项目规范》等法规及国家标准规定，在燃气设施保护范围内，禁止从事下列危及燃气设施安全的活动：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（一）建设占压地下燃气管线的建筑物、构筑物或者其他设施；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（二）进行爆破、取土等作业或者动用明火；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（三）倾倒、排放腐蚀性物质；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（四）放置易燃易爆危险物品或者种植深根植物；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（五）其他危及燃气设施安全的活动。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四、任何单位和个人不得侵占、毁损、擅自拆除或者移动燃气设施，不得毁损、覆盖、涂改、擅自拆除或者移动燃气设施安全警示标志。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五、</w:t>
      </w:r>
      <w:r>
        <w:rPr>
          <w:rFonts w:hint="eastAsia" w:ascii="仿宋_GB2312" w:hAnsi="宋体" w:eastAsia="仿宋_GB2312" w:cs="仿宋_GB2312"/>
          <w:color w:val="000000"/>
          <w:kern w:val="0"/>
          <w:sz w:val="32"/>
          <w:szCs w:val="32"/>
          <w:lang w:val="en-US" w:eastAsia="zh-CN" w:bidi="ar"/>
        </w:rPr>
        <w:t xml:space="preserve">建设单位开工前应当向燃气经营者或者燃气管理部门、城建档案管理机构及其他有关部门和单位查明地下燃气设施的有关情况。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六、</w:t>
      </w:r>
      <w:r>
        <w:rPr>
          <w:rFonts w:hint="eastAsia" w:ascii="仿宋_GB2312" w:hAnsi="宋体" w:eastAsia="仿宋_GB2312" w:cs="仿宋_GB2312"/>
          <w:color w:val="000000"/>
          <w:kern w:val="0"/>
          <w:sz w:val="32"/>
          <w:szCs w:val="32"/>
          <w:lang w:val="en-US" w:eastAsia="zh-CN" w:bidi="ar"/>
        </w:rPr>
        <w:t xml:space="preserve">在燃气设施安全保护范围和安全控制范围内从事敷设管道、打桩、顶进、挖掘、钻探等可能影响燃气设施安全活动的，建设单位应当会同管道燃气经营者、施工单位共同制定燃气设施保护方案。建设单位、施工单位应当采取相应的安全保护措施，确保燃气设施运行安全；管道燃气经营者应当派专业技术人员进行现场指导。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七、</w:t>
      </w:r>
      <w:r>
        <w:rPr>
          <w:rFonts w:hint="eastAsia" w:ascii="仿宋_GB2312" w:hAnsi="宋体" w:eastAsia="仿宋_GB2312" w:cs="仿宋_GB2312"/>
          <w:color w:val="000000"/>
          <w:kern w:val="0"/>
          <w:sz w:val="32"/>
          <w:szCs w:val="32"/>
          <w:lang w:val="en-US" w:eastAsia="zh-CN" w:bidi="ar"/>
        </w:rPr>
        <w:t xml:space="preserve">燃气经营者应当按照法律法规和国家标准等要求，设置燃气设施保护装置和安全警示标志，定期对燃气设施进行巡查和维护。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八、</w:t>
      </w:r>
      <w:r>
        <w:rPr>
          <w:rFonts w:hint="eastAsia" w:ascii="仿宋_GB2312" w:hAnsi="宋体" w:eastAsia="仿宋_GB2312" w:cs="仿宋_GB2312"/>
          <w:color w:val="000000"/>
          <w:kern w:val="0"/>
          <w:sz w:val="32"/>
          <w:szCs w:val="32"/>
          <w:lang w:val="en-US" w:eastAsia="zh-CN" w:bidi="ar"/>
        </w:rPr>
        <w:t xml:space="preserve">由燃气用户负责维护、更新的管道燃气设施的需要改装、拆除的，应经管道燃气经营者同意后由具有相应资质的单位组织施工。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九、</w:t>
      </w:r>
      <w:r>
        <w:rPr>
          <w:rFonts w:hint="eastAsia" w:ascii="仿宋_GB2312" w:hAnsi="宋体" w:eastAsia="仿宋_GB2312" w:cs="仿宋_GB2312"/>
          <w:color w:val="000000"/>
          <w:kern w:val="0"/>
          <w:sz w:val="32"/>
          <w:szCs w:val="32"/>
          <w:lang w:val="en-US" w:eastAsia="zh-CN" w:bidi="ar"/>
        </w:rPr>
        <w:t xml:space="preserve">单位和个人违反《城镇燃气管理条例》《浙江省燃气管理条例》规定的，由职能部门依法依规处罚。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十、</w:t>
      </w:r>
      <w:r>
        <w:rPr>
          <w:rFonts w:hint="eastAsia" w:ascii="仿宋_GB2312" w:hAnsi="宋体" w:eastAsia="仿宋_GB2312" w:cs="仿宋_GB2312"/>
          <w:color w:val="000000"/>
          <w:kern w:val="0"/>
          <w:sz w:val="32"/>
          <w:szCs w:val="32"/>
          <w:lang w:val="en-US" w:eastAsia="zh-CN" w:bidi="ar"/>
        </w:rPr>
        <w:t xml:space="preserve">本通告自 </w:t>
      </w:r>
      <w:r>
        <w:rPr>
          <w:rFonts w:hint="default" w:ascii="仿宋_GB2312" w:hAnsi="宋体" w:eastAsia="仿宋_GB2312" w:cs="仿宋_GB2312"/>
          <w:color w:val="000000"/>
          <w:kern w:val="0"/>
          <w:sz w:val="32"/>
          <w:szCs w:val="32"/>
          <w:lang w:eastAsia="zh-CN" w:bidi="ar"/>
          <w:woUserID w:val="1"/>
        </w:rPr>
        <w:t xml:space="preserve">   </w:t>
      </w:r>
      <w:r>
        <w:rPr>
          <w:rFonts w:hint="eastAsia" w:ascii="仿宋_GB2312" w:hAnsi="宋体" w:eastAsia="仿宋_GB2312" w:cs="仿宋_GB2312"/>
          <w:color w:val="000000"/>
          <w:kern w:val="0"/>
          <w:sz w:val="32"/>
          <w:szCs w:val="32"/>
          <w:lang w:val="en-US" w:eastAsia="zh-CN" w:bidi="ar"/>
        </w:rPr>
        <w:t xml:space="preserve"> 年 </w:t>
      </w:r>
      <w:r>
        <w:rPr>
          <w:rFonts w:hint="default" w:ascii="仿宋_GB2312" w:hAnsi="宋体" w:eastAsia="仿宋_GB2312" w:cs="仿宋_GB2312"/>
          <w:color w:val="000000"/>
          <w:kern w:val="0"/>
          <w:sz w:val="32"/>
          <w:szCs w:val="32"/>
          <w:lang w:eastAsia="zh-CN" w:bidi="ar"/>
          <w:woUserID w:val="1"/>
        </w:rPr>
        <w:t xml:space="preserve">  </w:t>
      </w:r>
      <w:r>
        <w:rPr>
          <w:rFonts w:hint="eastAsia" w:ascii="仿宋_GB2312" w:hAnsi="宋体" w:eastAsia="仿宋_GB2312" w:cs="仿宋_GB2312"/>
          <w:color w:val="000000"/>
          <w:kern w:val="0"/>
          <w:sz w:val="32"/>
          <w:szCs w:val="32"/>
          <w:lang w:val="en-US" w:eastAsia="zh-CN" w:bidi="ar"/>
        </w:rPr>
        <w:t xml:space="preserve"> 月 </w:t>
      </w:r>
      <w:r>
        <w:rPr>
          <w:rFonts w:hint="default" w:ascii="仿宋_GB2312" w:hAnsi="宋体" w:eastAsia="仿宋_GB2312" w:cs="仿宋_GB2312"/>
          <w:color w:val="000000"/>
          <w:kern w:val="0"/>
          <w:sz w:val="32"/>
          <w:szCs w:val="32"/>
          <w:lang w:eastAsia="zh-CN" w:bidi="ar"/>
          <w:woUserID w:val="1"/>
        </w:rPr>
        <w:t xml:space="preserve"> </w:t>
      </w:r>
      <w:r>
        <w:rPr>
          <w:rFonts w:hint="eastAsia" w:ascii="仿宋_GB2312" w:hAnsi="宋体" w:eastAsia="仿宋_GB2312" w:cs="仿宋_GB2312"/>
          <w:color w:val="000000"/>
          <w:kern w:val="0"/>
          <w:sz w:val="32"/>
          <w:szCs w:val="32"/>
          <w:lang w:val="en-US" w:eastAsia="zh-CN" w:bidi="ar"/>
        </w:rPr>
        <w:t xml:space="preserve"> 日起施行。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righ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龙泉市住房和城乡建设局</w:t>
      </w:r>
    </w:p>
    <w:p>
      <w:pPr>
        <w:keepNext w:val="0"/>
        <w:keepLines w:val="0"/>
        <w:pageBreakBefore w:val="0"/>
        <w:widowControl/>
        <w:suppressLineNumbers w:val="0"/>
        <w:kinsoku/>
        <w:wordWrap w:val="0"/>
        <w:overflowPunct/>
        <w:topLinePunct w:val="0"/>
        <w:autoSpaceDE/>
        <w:autoSpaceDN/>
        <w:bidi w:val="0"/>
        <w:adjustRightInd/>
        <w:snapToGrid/>
        <w:ind w:firstLine="640" w:firstLineChars="200"/>
        <w:jc w:val="righ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2022年11月1</w:t>
      </w:r>
      <w:r>
        <w:rPr>
          <w:rFonts w:hint="default" w:ascii="仿宋_GB2312" w:hAnsi="宋体" w:eastAsia="仿宋_GB2312" w:cs="仿宋_GB2312"/>
          <w:color w:val="000000"/>
          <w:kern w:val="0"/>
          <w:sz w:val="32"/>
          <w:szCs w:val="32"/>
          <w:lang w:eastAsia="zh-CN" w:bidi="ar"/>
          <w:woUserID w:val="1"/>
        </w:rPr>
        <w:t>7</w:t>
      </w:r>
      <w:r>
        <w:rPr>
          <w:rFonts w:hint="eastAsia" w:ascii="仿宋_GB2312" w:hAnsi="宋体" w:eastAsia="仿宋_GB2312" w:cs="仿宋_GB2312"/>
          <w:color w:val="000000"/>
          <w:kern w:val="0"/>
          <w:sz w:val="32"/>
          <w:szCs w:val="32"/>
          <w:lang w:val="en-US" w:eastAsia="zh-CN" w:bidi="ar"/>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OWIwODVlZWI4MDJkZDkxYTlhYzY1NTA3NWM3YTgifQ=="/>
  </w:docVars>
  <w:rsids>
    <w:rsidRoot w:val="38BF37C9"/>
    <w:rsid w:val="38BF37C9"/>
    <w:rsid w:val="597BB6AC"/>
    <w:rsid w:val="5D7F2036"/>
    <w:rsid w:val="875F966F"/>
    <w:rsid w:val="FF5EC1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2022-11-17T01:56:00Z</dcterms:created>
  <dc:creator>Administrator</dc:creator>
  <cp:lastModifiedBy>Administrator</cp:lastModifiedBy>
  <dcterms:modified xsi:type="dcterms:W3CDTF">2022-11-17T08:25:40Z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E9410F7715A749E9BC8F0B047847994E</vt:lpwstr>
  </property>
  <property fmtid="{D5CDD505-2E9C-101B-9397-08002B2CF9AE}" pid="4" name="woTemplateTypoMode" linkTarget="0">
    <vt:lpwstr>web</vt:lpwstr>
  </property>
  <property fmtid="{D5CDD505-2E9C-101B-9397-08002B2CF9AE}" pid="5" name="woTemplate" linkTarget="0">
    <vt:i4>1</vt:i4>
  </property>
</Properties>
</file>