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60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龙泉市均溪三级水库改建工程</w:t>
      </w:r>
    </w:p>
    <w:p>
      <w:pPr>
        <w:keepNext w:val="0"/>
        <w:keepLines w:val="0"/>
        <w:pageBreakBefore w:val="0"/>
        <w:widowControl w:val="0"/>
        <w:kinsoku/>
        <w:wordWrap/>
        <w:overflowPunct/>
        <w:topLinePunct w:val="0"/>
        <w:bidi w:val="0"/>
        <w:spacing w:line="600" w:lineRule="exact"/>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项目简介</w:t>
      </w:r>
    </w:p>
    <w:p>
      <w:pPr>
        <w:keepNext w:val="0"/>
        <w:keepLines w:val="0"/>
        <w:pageBreakBefore w:val="0"/>
        <w:widowControl w:val="0"/>
        <w:kinsoku/>
        <w:wordWrap/>
        <w:overflowPunct/>
        <w:topLinePunct w:val="0"/>
        <w:bidi w:val="0"/>
        <w:spacing w:line="600" w:lineRule="exact"/>
        <w:jc w:val="both"/>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bidi w:val="0"/>
        <w:spacing w:line="600" w:lineRule="exact"/>
        <w:ind w:firstLine="602" w:firstLineChars="200"/>
        <w:jc w:val="both"/>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一、项目谋划背景</w:t>
      </w:r>
    </w:p>
    <w:p>
      <w:pPr>
        <w:keepNext w:val="0"/>
        <w:keepLines w:val="0"/>
        <w:pageBreakBefore w:val="0"/>
        <w:widowControl w:val="0"/>
        <w:kinsoku/>
        <w:wordWrap/>
        <w:overflowPunct/>
        <w:topLinePunct w:val="0"/>
        <w:bidi w:val="0"/>
        <w:spacing w:line="600" w:lineRule="exact"/>
        <w:ind w:firstLine="602" w:firstLineChars="200"/>
        <w:jc w:val="both"/>
        <w:rPr>
          <w:rFonts w:hint="eastAsia" w:ascii="宋体" w:hAnsi="宋体" w:eastAsia="宋体" w:cs="宋体"/>
          <w:b/>
          <w:sz w:val="30"/>
          <w:szCs w:val="30"/>
          <w:lang w:eastAsia="zh-CN"/>
        </w:rPr>
      </w:pPr>
      <w:r>
        <w:rPr>
          <w:rFonts w:hint="eastAsia" w:ascii="宋体" w:hAnsi="宋体" w:eastAsia="宋体" w:cs="宋体"/>
          <w:b/>
          <w:sz w:val="30"/>
          <w:szCs w:val="30"/>
          <w:lang w:val="en-US" w:eastAsia="zh-CN"/>
        </w:rPr>
        <w:t>1、</w:t>
      </w:r>
      <w:r>
        <w:rPr>
          <w:rFonts w:hint="eastAsia" w:ascii="宋体" w:hAnsi="宋体" w:eastAsia="宋体" w:cs="宋体"/>
          <w:b/>
          <w:sz w:val="30"/>
          <w:szCs w:val="30"/>
          <w:lang w:eastAsia="zh-CN"/>
        </w:rPr>
        <w:t>龙泉城区防洪标准暂未达到规划要求</w:t>
      </w:r>
    </w:p>
    <w:p>
      <w:pPr>
        <w:pStyle w:val="2"/>
        <w:keepNext w:val="0"/>
        <w:keepLines w:val="0"/>
        <w:pageBreakBefore w:val="0"/>
        <w:widowControl w:val="0"/>
        <w:kinsoku/>
        <w:wordWrap/>
        <w:overflowPunct/>
        <w:topLinePunct w:val="0"/>
        <w:bidi w:val="0"/>
        <w:spacing w:line="600" w:lineRule="exact"/>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城区防洪堤建设已日趋完善</w:t>
      </w: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但</w:t>
      </w:r>
      <w:r>
        <w:rPr>
          <w:rFonts w:hint="eastAsia" w:ascii="宋体" w:hAnsi="宋体" w:eastAsia="宋体" w:cs="宋体"/>
          <w:sz w:val="30"/>
          <w:szCs w:val="30"/>
        </w:rPr>
        <w:t>现状</w:t>
      </w:r>
      <w:r>
        <w:rPr>
          <w:rFonts w:hint="eastAsia" w:ascii="宋体" w:hAnsi="宋体" w:eastAsia="宋体" w:cs="宋体"/>
          <w:sz w:val="30"/>
          <w:szCs w:val="30"/>
          <w:lang w:val="en-US" w:eastAsia="zh-CN"/>
        </w:rPr>
        <w:t>防洪能力仅为2</w:t>
      </w:r>
      <w:r>
        <w:rPr>
          <w:rFonts w:hint="eastAsia" w:ascii="宋体" w:hAnsi="宋体" w:eastAsia="宋体" w:cs="宋体"/>
          <w:sz w:val="30"/>
          <w:szCs w:val="30"/>
        </w:rPr>
        <w:t>0年一遇，</w:t>
      </w:r>
      <w:r>
        <w:rPr>
          <w:rFonts w:hint="eastAsia" w:ascii="宋体" w:hAnsi="宋体" w:eastAsia="宋体" w:cs="宋体"/>
          <w:sz w:val="30"/>
          <w:szCs w:val="30"/>
          <w:lang w:eastAsia="zh-CN"/>
        </w:rPr>
        <w:t>未达到</w:t>
      </w:r>
      <w:r>
        <w:rPr>
          <w:rFonts w:hint="eastAsia" w:ascii="宋体" w:hAnsi="宋体" w:eastAsia="宋体" w:cs="宋体"/>
          <w:sz w:val="30"/>
          <w:szCs w:val="30"/>
          <w:lang w:val="en-US" w:eastAsia="zh-CN"/>
        </w:rPr>
        <w:t>5</w:t>
      </w:r>
      <w:r>
        <w:rPr>
          <w:rFonts w:hint="eastAsia" w:ascii="宋体" w:hAnsi="宋体" w:eastAsia="宋体" w:cs="宋体"/>
          <w:sz w:val="30"/>
          <w:szCs w:val="30"/>
        </w:rPr>
        <w:t>0年一遇</w:t>
      </w:r>
      <w:r>
        <w:rPr>
          <w:rFonts w:hint="eastAsia" w:ascii="宋体" w:hAnsi="宋体" w:eastAsia="宋体" w:cs="宋体"/>
          <w:sz w:val="30"/>
          <w:szCs w:val="30"/>
          <w:lang w:eastAsia="zh-CN"/>
        </w:rPr>
        <w:t>规划标准，根据龙泉城区总体规划</w:t>
      </w:r>
      <w:r>
        <w:rPr>
          <w:rFonts w:hint="eastAsia" w:ascii="宋体" w:hAnsi="宋体" w:eastAsia="宋体" w:cs="宋体"/>
          <w:sz w:val="30"/>
          <w:szCs w:val="30"/>
          <w:lang w:val="en-US" w:eastAsia="zh-CN"/>
        </w:rPr>
        <w:t>，无法采用加高防洪堤等方式提升防洪标准。</w:t>
      </w:r>
    </w:p>
    <w:p>
      <w:pPr>
        <w:keepNext w:val="0"/>
        <w:keepLines w:val="0"/>
        <w:pageBreakBefore w:val="0"/>
        <w:widowControl w:val="0"/>
        <w:kinsoku/>
        <w:wordWrap/>
        <w:overflowPunct/>
        <w:topLinePunct w:val="0"/>
        <w:bidi w:val="0"/>
        <w:spacing w:line="600" w:lineRule="exact"/>
        <w:ind w:firstLine="602" w:firstLineChars="200"/>
        <w:jc w:val="both"/>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2、</w:t>
      </w:r>
      <w:r>
        <w:rPr>
          <w:rFonts w:hint="eastAsia" w:ascii="宋体" w:hAnsi="宋体" w:eastAsia="宋体" w:cs="宋体"/>
          <w:b/>
          <w:bCs/>
          <w:sz w:val="30"/>
          <w:szCs w:val="30"/>
          <w:lang w:eastAsia="zh-CN"/>
        </w:rPr>
        <w:t>龙泉城区及兰巨乡城镇发展供水保证率不足</w:t>
      </w:r>
    </w:p>
    <w:p>
      <w:pPr>
        <w:pStyle w:val="5"/>
        <w:keepNext w:val="0"/>
        <w:keepLines w:val="0"/>
        <w:pageBreakBefore w:val="0"/>
        <w:widowControl w:val="0"/>
        <w:kinsoku/>
        <w:wordWrap/>
        <w:overflowPunct/>
        <w:topLinePunct w:val="0"/>
        <w:bidi w:val="0"/>
        <w:snapToGrid/>
        <w:spacing w:line="600" w:lineRule="exact"/>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龙泉城区目前以岩樟溪水库为主水源，以龙泉溪河道取水为备用水源（备用水源存在很大的污染隐患）。根据岩樟溪一级水库调度运行方式，不能满足现状用水需求。所以，南大洋水厂丰水期取水水源为岩樟溪梯级水库，11月~翌年2月枯水期取水水源切换至龙泉溪。</w:t>
      </w:r>
    </w:p>
    <w:p>
      <w:pPr>
        <w:pStyle w:val="5"/>
        <w:keepNext w:val="0"/>
        <w:keepLines w:val="0"/>
        <w:pageBreakBefore w:val="0"/>
        <w:widowControl w:val="0"/>
        <w:kinsoku/>
        <w:wordWrap/>
        <w:overflowPunct/>
        <w:topLinePunct w:val="0"/>
        <w:bidi w:val="0"/>
        <w:snapToGrid/>
        <w:spacing w:line="600" w:lineRule="exact"/>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根据兰巨生态产品价值实现产业平台（以下简称“产业平台”）区块建设规划方案，预计</w:t>
      </w:r>
      <w:r>
        <w:rPr>
          <w:rFonts w:hint="eastAsia" w:ascii="宋体" w:hAnsi="宋体" w:eastAsia="宋体" w:cs="宋体"/>
          <w:sz w:val="30"/>
          <w:szCs w:val="30"/>
          <w:lang w:val="en-US" w:eastAsia="zh-CN"/>
        </w:rPr>
        <w:t>2035年</w:t>
      </w:r>
      <w:r>
        <w:rPr>
          <w:rFonts w:hint="eastAsia" w:ascii="宋体" w:hAnsi="宋体" w:eastAsia="宋体" w:cs="宋体"/>
          <w:sz w:val="30"/>
          <w:szCs w:val="30"/>
          <w:lang w:eastAsia="zh-CN"/>
        </w:rPr>
        <w:t>日均供水量需</w:t>
      </w:r>
      <w:r>
        <w:rPr>
          <w:rFonts w:hint="eastAsia" w:ascii="宋体" w:hAnsi="宋体" w:eastAsia="宋体" w:cs="宋体"/>
          <w:sz w:val="30"/>
          <w:szCs w:val="30"/>
          <w:lang w:val="en-US" w:eastAsia="zh-CN"/>
        </w:rPr>
        <w:t>1.76万方每天，造成</w:t>
      </w:r>
      <w:r>
        <w:rPr>
          <w:rFonts w:hint="eastAsia" w:ascii="宋体" w:hAnsi="宋体" w:eastAsia="宋体" w:cs="宋体"/>
          <w:sz w:val="30"/>
          <w:szCs w:val="30"/>
          <w:lang w:eastAsia="zh-CN"/>
        </w:rPr>
        <w:t>兰巨乡需水量将急剧增长，而目前兰巨水厂供水能力仅为0.3万方每天，无法满足产业平台用水需求。</w:t>
      </w:r>
    </w:p>
    <w:p>
      <w:pPr>
        <w:pStyle w:val="5"/>
        <w:keepNext w:val="0"/>
        <w:keepLines w:val="0"/>
        <w:pageBreakBefore w:val="0"/>
        <w:widowControl w:val="0"/>
        <w:kinsoku/>
        <w:wordWrap/>
        <w:overflowPunct/>
        <w:topLinePunct w:val="0"/>
        <w:bidi w:val="0"/>
        <w:snapToGrid/>
        <w:spacing w:line="600" w:lineRule="exact"/>
        <w:ind w:firstLine="602" w:firstLineChars="200"/>
        <w:jc w:val="both"/>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二、项目建设必要性</w:t>
      </w:r>
    </w:p>
    <w:p>
      <w:pPr>
        <w:pStyle w:val="5"/>
        <w:keepNext w:val="0"/>
        <w:keepLines w:val="0"/>
        <w:pageBreakBefore w:val="0"/>
        <w:widowControl w:val="0"/>
        <w:kinsoku/>
        <w:wordWrap/>
        <w:overflowPunct/>
        <w:topLinePunct w:val="0"/>
        <w:bidi w:val="0"/>
        <w:snapToGrid/>
        <w:spacing w:line="600" w:lineRule="exact"/>
        <w:ind w:firstLine="600" w:firstLineChars="200"/>
        <w:jc w:val="both"/>
        <w:rPr>
          <w:rFonts w:hint="eastAsia" w:ascii="宋体" w:hAnsi="宋体" w:eastAsia="宋体" w:cs="宋体"/>
          <w:sz w:val="30"/>
          <w:szCs w:val="30"/>
          <w:lang w:eastAsia="zh-CN"/>
        </w:rPr>
      </w:pPr>
      <w:r>
        <w:rPr>
          <w:rFonts w:hint="eastAsia" w:ascii="宋体" w:hAnsi="宋体" w:eastAsia="宋体" w:cs="宋体"/>
          <w:sz w:val="30"/>
          <w:szCs w:val="30"/>
          <w:lang w:eastAsia="zh-CN"/>
        </w:rPr>
        <w:t>为完善龙泉溪流域防洪体系，有效缓解城区防洪压力，服务龙泉城区、产业平台的供水安全，经前期实地查看及专家论证，并根据《瓯江流域防洪规划》、《浙西南山区（丽水）大中型水库建设研究方案》等规划方案，提出建设龙泉市均溪三级水库改建工程。</w:t>
      </w:r>
    </w:p>
    <w:p>
      <w:pPr>
        <w:pStyle w:val="5"/>
        <w:keepNext w:val="0"/>
        <w:keepLines w:val="0"/>
        <w:pageBreakBefore w:val="0"/>
        <w:widowControl w:val="0"/>
        <w:kinsoku/>
        <w:wordWrap/>
        <w:overflowPunct/>
        <w:topLinePunct w:val="0"/>
        <w:bidi w:val="0"/>
        <w:snapToGrid/>
        <w:spacing w:line="600" w:lineRule="exact"/>
        <w:ind w:firstLine="602" w:firstLineChars="200"/>
        <w:jc w:val="both"/>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三</w:t>
      </w:r>
      <w:r>
        <w:rPr>
          <w:rFonts w:hint="eastAsia" w:ascii="宋体" w:hAnsi="宋体" w:eastAsia="宋体" w:cs="宋体"/>
          <w:b/>
          <w:bCs/>
          <w:sz w:val="30"/>
          <w:szCs w:val="30"/>
        </w:rPr>
        <w:t>、</w:t>
      </w:r>
      <w:r>
        <w:rPr>
          <w:rFonts w:hint="eastAsia" w:ascii="宋体" w:hAnsi="宋体" w:eastAsia="宋体" w:cs="宋体"/>
          <w:b/>
          <w:bCs/>
          <w:sz w:val="30"/>
          <w:szCs w:val="30"/>
          <w:lang w:eastAsia="zh-CN"/>
        </w:rPr>
        <w:t>工程基本情况</w:t>
      </w:r>
    </w:p>
    <w:p>
      <w:pPr>
        <w:keepNext w:val="0"/>
        <w:keepLines w:val="0"/>
        <w:pageBreakBefore w:val="0"/>
        <w:widowControl w:val="0"/>
        <w:kinsoku/>
        <w:wordWrap/>
        <w:overflowPunct/>
        <w:topLinePunct w:val="0"/>
        <w:bidi w:val="0"/>
        <w:spacing w:line="600" w:lineRule="exact"/>
        <w:ind w:firstLine="600" w:firstLineChars="200"/>
        <w:jc w:val="both"/>
        <w:rPr>
          <w:rFonts w:hint="eastAsia" w:ascii="宋体" w:hAnsi="宋体" w:eastAsia="宋体" w:cs="宋体"/>
          <w:sz w:val="30"/>
          <w:szCs w:val="30"/>
          <w:lang w:val="en-US" w:eastAsia="zh-CN"/>
        </w:rPr>
      </w:pPr>
      <w:r>
        <w:rPr>
          <w:rFonts w:hint="eastAsia" w:ascii="宋体" w:hAnsi="宋体" w:eastAsia="宋体" w:cs="宋体"/>
          <w:color w:val="auto"/>
          <w:sz w:val="30"/>
          <w:szCs w:val="30"/>
          <w:lang w:eastAsia="zh-CN"/>
        </w:rPr>
        <w:t>本工程位于龙泉市屏南镇境内的均溪流域上，工程拟在原均溪三级水库发电厂房上游约140m处新建一座拦河坝，</w:t>
      </w:r>
      <w:r>
        <w:rPr>
          <w:rFonts w:hint="eastAsia" w:ascii="宋体" w:hAnsi="宋体" w:eastAsia="宋体" w:cs="宋体"/>
          <w:color w:val="auto"/>
          <w:sz w:val="30"/>
          <w:szCs w:val="30"/>
          <w:lang w:val="zh-CN" w:eastAsia="zh-CN"/>
        </w:rPr>
        <w:t>水库总库容约</w:t>
      </w:r>
      <w:r>
        <w:rPr>
          <w:rFonts w:hint="eastAsia" w:ascii="宋体" w:hAnsi="宋体" w:eastAsia="宋体" w:cs="宋体"/>
          <w:color w:val="auto"/>
          <w:sz w:val="30"/>
          <w:szCs w:val="30"/>
          <w:lang w:val="en-US" w:eastAsia="zh-CN"/>
        </w:rPr>
        <w:t>1743</w:t>
      </w:r>
      <w:r>
        <w:rPr>
          <w:rFonts w:hint="eastAsia" w:ascii="宋体" w:hAnsi="宋体" w:eastAsia="宋体" w:cs="宋体"/>
          <w:color w:val="auto"/>
          <w:sz w:val="30"/>
          <w:szCs w:val="30"/>
          <w:lang w:val="zh-CN" w:eastAsia="zh-CN"/>
        </w:rPr>
        <w:t>万方，防洪库容</w:t>
      </w:r>
      <w:r>
        <w:rPr>
          <w:rFonts w:hint="eastAsia" w:ascii="宋体" w:hAnsi="宋体" w:eastAsia="宋体" w:cs="宋体"/>
          <w:color w:val="auto"/>
          <w:sz w:val="30"/>
          <w:szCs w:val="30"/>
          <w:lang w:val="en-US" w:eastAsia="zh-CN"/>
        </w:rPr>
        <w:t>800</w:t>
      </w:r>
      <w:r>
        <w:rPr>
          <w:rFonts w:hint="eastAsia" w:ascii="宋体" w:hAnsi="宋体" w:eastAsia="宋体" w:cs="宋体"/>
          <w:color w:val="auto"/>
          <w:sz w:val="30"/>
          <w:szCs w:val="30"/>
          <w:lang w:val="zh-CN" w:eastAsia="zh-CN"/>
        </w:rPr>
        <w:t>万方，兴利库容</w:t>
      </w:r>
      <w:r>
        <w:rPr>
          <w:rFonts w:hint="eastAsia" w:ascii="宋体" w:hAnsi="宋体" w:eastAsia="宋体" w:cs="宋体"/>
          <w:color w:val="auto"/>
          <w:sz w:val="30"/>
          <w:szCs w:val="30"/>
          <w:lang w:val="en-US" w:eastAsia="zh-CN"/>
        </w:rPr>
        <w:t>793</w:t>
      </w:r>
      <w:r>
        <w:rPr>
          <w:rFonts w:hint="eastAsia" w:ascii="宋体" w:hAnsi="宋体" w:eastAsia="宋体" w:cs="宋体"/>
          <w:color w:val="auto"/>
          <w:sz w:val="30"/>
          <w:szCs w:val="30"/>
          <w:lang w:val="zh-CN" w:eastAsia="zh-CN"/>
        </w:rPr>
        <w:t>万立方米，最大坝高约67.</w:t>
      </w:r>
      <w:r>
        <w:rPr>
          <w:rFonts w:hint="eastAsia" w:ascii="宋体" w:hAnsi="宋体" w:eastAsia="宋体" w:cs="宋体"/>
          <w:color w:val="auto"/>
          <w:sz w:val="30"/>
          <w:szCs w:val="30"/>
          <w:lang w:val="en-US" w:eastAsia="zh-CN"/>
        </w:rPr>
        <w:t>8</w:t>
      </w:r>
      <w:r>
        <w:rPr>
          <w:rFonts w:hint="eastAsia" w:ascii="宋体" w:hAnsi="宋体" w:eastAsia="宋体" w:cs="宋体"/>
          <w:color w:val="auto"/>
          <w:sz w:val="30"/>
          <w:szCs w:val="30"/>
          <w:lang w:val="zh-CN" w:eastAsia="zh-CN"/>
        </w:rPr>
        <w:t>米，坝顶高程32</w:t>
      </w:r>
      <w:r>
        <w:rPr>
          <w:rFonts w:hint="eastAsia" w:ascii="宋体" w:hAnsi="宋体" w:eastAsia="宋体" w:cs="宋体"/>
          <w:color w:val="auto"/>
          <w:sz w:val="30"/>
          <w:szCs w:val="30"/>
          <w:lang w:val="en-US" w:eastAsia="zh-CN"/>
        </w:rPr>
        <w:t>6.8</w:t>
      </w:r>
      <w:r>
        <w:rPr>
          <w:rFonts w:hint="eastAsia" w:ascii="宋体" w:hAnsi="宋体" w:eastAsia="宋体" w:cs="宋体"/>
          <w:color w:val="auto"/>
          <w:sz w:val="30"/>
          <w:szCs w:val="30"/>
          <w:lang w:val="zh-CN" w:eastAsia="zh-CN"/>
        </w:rPr>
        <w:t>0米，正常蓄水位</w:t>
      </w:r>
      <w:r>
        <w:rPr>
          <w:rFonts w:hint="eastAsia" w:ascii="宋体" w:hAnsi="宋体" w:eastAsia="宋体" w:cs="宋体"/>
          <w:color w:val="auto"/>
          <w:sz w:val="30"/>
          <w:szCs w:val="30"/>
          <w:lang w:val="en-US" w:eastAsia="zh-CN"/>
        </w:rPr>
        <w:t>311</w:t>
      </w:r>
      <w:r>
        <w:rPr>
          <w:rFonts w:hint="eastAsia" w:ascii="宋体" w:hAnsi="宋体" w:eastAsia="宋体" w:cs="宋体"/>
          <w:color w:val="auto"/>
          <w:sz w:val="30"/>
          <w:szCs w:val="30"/>
          <w:lang w:val="zh-CN" w:eastAsia="zh-CN"/>
        </w:rPr>
        <w:t>.0米（项目建成后，通过后期调整，正常蓄水位可调高</w:t>
      </w:r>
      <w:r>
        <w:rPr>
          <w:rFonts w:hint="eastAsia" w:ascii="宋体" w:hAnsi="宋体" w:eastAsia="宋体" w:cs="宋体"/>
          <w:color w:val="auto"/>
          <w:sz w:val="30"/>
          <w:szCs w:val="30"/>
          <w:lang w:val="en-US" w:eastAsia="zh-CN"/>
        </w:rPr>
        <w:t>11米，到达322.0米</w:t>
      </w:r>
      <w:r>
        <w:rPr>
          <w:rFonts w:hint="eastAsia" w:ascii="宋体" w:hAnsi="宋体" w:eastAsia="宋体" w:cs="宋体"/>
          <w:color w:val="auto"/>
          <w:sz w:val="30"/>
          <w:szCs w:val="30"/>
          <w:lang w:val="zh-CN" w:eastAsia="zh-CN"/>
        </w:rPr>
        <w:t>）。</w:t>
      </w:r>
      <w:r>
        <w:rPr>
          <w:rFonts w:hint="eastAsia" w:ascii="宋体" w:hAnsi="宋体" w:eastAsia="宋体" w:cs="宋体"/>
          <w:sz w:val="30"/>
          <w:szCs w:val="30"/>
          <w:lang w:val="zh-CN" w:eastAsia="zh-CN"/>
        </w:rPr>
        <w:t>主要建设内容为拦河坝、消能防冲设施、取水口工程、引水系统等，项目总投资约为</w:t>
      </w:r>
      <w:r>
        <w:rPr>
          <w:rFonts w:hint="eastAsia" w:ascii="宋体" w:hAnsi="宋体" w:eastAsia="宋体" w:cs="宋体"/>
          <w:sz w:val="30"/>
          <w:szCs w:val="30"/>
          <w:lang w:val="en-US" w:eastAsia="zh-CN"/>
        </w:rPr>
        <w:t>81355.12万元。</w:t>
      </w:r>
    </w:p>
    <w:p>
      <w:pPr>
        <w:keepNext w:val="0"/>
        <w:keepLines w:val="0"/>
        <w:pageBreakBefore w:val="0"/>
        <w:widowControl w:val="0"/>
        <w:kinsoku/>
        <w:wordWrap/>
        <w:overflowPunct/>
        <w:topLinePunct w:val="0"/>
        <w:bidi w:val="0"/>
        <w:spacing w:line="600" w:lineRule="exact"/>
        <w:ind w:firstLine="602" w:firstLineChars="200"/>
        <w:jc w:val="both"/>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四、</w:t>
      </w:r>
      <w:r>
        <w:rPr>
          <w:rFonts w:hint="eastAsia" w:ascii="宋体" w:hAnsi="宋体" w:eastAsia="宋体" w:cs="宋体"/>
          <w:b/>
          <w:bCs/>
          <w:sz w:val="30"/>
          <w:szCs w:val="30"/>
        </w:rPr>
        <w:t>项目建设效益</w:t>
      </w:r>
    </w:p>
    <w:p>
      <w:pPr>
        <w:keepNext w:val="0"/>
        <w:keepLines w:val="0"/>
        <w:pageBreakBefore w:val="0"/>
        <w:widowControl w:val="0"/>
        <w:kinsoku/>
        <w:wordWrap/>
        <w:overflowPunct/>
        <w:topLinePunct w:val="0"/>
        <w:bidi w:val="0"/>
        <w:spacing w:line="600" w:lineRule="exact"/>
        <w:ind w:firstLine="602" w:firstLineChars="200"/>
        <w:jc w:val="both"/>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1、缓解龙泉市城区防洪压力，完善龙泉溪流域防洪体系</w:t>
      </w:r>
    </w:p>
    <w:p>
      <w:pPr>
        <w:keepNext w:val="0"/>
        <w:keepLines w:val="0"/>
        <w:pageBreakBefore w:val="0"/>
        <w:widowControl w:val="0"/>
        <w:kinsoku/>
        <w:wordWrap/>
        <w:overflowPunct/>
        <w:topLinePunct w:val="0"/>
        <w:bidi w:val="0"/>
        <w:spacing w:line="600" w:lineRule="exact"/>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本工程防洪保护对象为龙泉城区和兰巨乡，涉及3个街道，1个乡镇。均溪三级水库改建工程设置800万m3防洪库容，采用错峰调度方式，有效减轻了龙泉城区的防洪压力。</w:t>
      </w:r>
    </w:p>
    <w:p>
      <w:pPr>
        <w:keepNext w:val="0"/>
        <w:keepLines w:val="0"/>
        <w:pageBreakBefore w:val="0"/>
        <w:widowControl w:val="0"/>
        <w:numPr>
          <w:ilvl w:val="0"/>
          <w:numId w:val="1"/>
        </w:numPr>
        <w:kinsoku/>
        <w:wordWrap/>
        <w:overflowPunct/>
        <w:topLinePunct w:val="0"/>
        <w:bidi w:val="0"/>
        <w:spacing w:line="600" w:lineRule="exact"/>
        <w:ind w:firstLine="602" w:firstLineChars="200"/>
        <w:jc w:val="both"/>
        <w:rPr>
          <w:rFonts w:hint="eastAsia" w:ascii="宋体" w:hAnsi="宋体" w:eastAsia="宋体" w:cs="宋体"/>
          <w:b/>
          <w:bCs/>
          <w:sz w:val="30"/>
          <w:szCs w:val="30"/>
          <w:lang w:eastAsia="zh-CN"/>
        </w:rPr>
      </w:pPr>
      <w:r>
        <w:rPr>
          <w:rFonts w:hint="eastAsia" w:ascii="宋体" w:hAnsi="宋体" w:eastAsia="宋体" w:cs="宋体"/>
          <w:b/>
          <w:bCs/>
          <w:sz w:val="30"/>
          <w:szCs w:val="30"/>
          <w:lang w:val="en-US" w:eastAsia="zh-CN"/>
        </w:rPr>
        <w:t>保障供水安全，构建多水源保障体系</w:t>
      </w:r>
    </w:p>
    <w:p>
      <w:pPr>
        <w:keepNext w:val="0"/>
        <w:keepLines w:val="0"/>
        <w:pageBreakBefore w:val="0"/>
        <w:widowControl w:val="0"/>
        <w:numPr>
          <w:ilvl w:val="0"/>
          <w:numId w:val="0"/>
        </w:numPr>
        <w:kinsoku/>
        <w:wordWrap/>
        <w:overflowPunct/>
        <w:topLinePunct w:val="0"/>
        <w:bidi w:val="0"/>
        <w:spacing w:line="600" w:lineRule="exact"/>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本工程供水区域为龙泉市现状中心城区片、兰巨产业平台片，灌溉区域为坝址下游灌片。可有效保障城市供水安全，并与岩樟溪梯级电站互为备用水源，完善多水源保障体系。</w:t>
      </w:r>
    </w:p>
    <w:p>
      <w:pPr>
        <w:keepNext w:val="0"/>
        <w:keepLines w:val="0"/>
        <w:pageBreakBefore w:val="0"/>
        <w:widowControl w:val="0"/>
        <w:numPr>
          <w:ilvl w:val="0"/>
          <w:numId w:val="0"/>
        </w:numPr>
        <w:kinsoku/>
        <w:wordWrap/>
        <w:overflowPunct/>
        <w:topLinePunct w:val="0"/>
        <w:bidi w:val="0"/>
        <w:spacing w:line="600" w:lineRule="exact"/>
        <w:ind w:firstLine="602" w:firstLineChars="200"/>
        <w:jc w:val="both"/>
        <w:rPr>
          <w:rFonts w:hint="eastAsia" w:ascii="宋体" w:hAnsi="宋体" w:eastAsia="宋体" w:cs="宋体"/>
          <w:sz w:val="30"/>
          <w:szCs w:val="30"/>
          <w:lang w:val="en-US" w:eastAsia="zh-CN"/>
        </w:rPr>
      </w:pPr>
      <w:r>
        <w:rPr>
          <w:rFonts w:hint="eastAsia" w:ascii="宋体" w:hAnsi="宋体" w:eastAsia="宋体" w:cs="宋体"/>
          <w:b/>
          <w:bCs/>
          <w:sz w:val="30"/>
          <w:szCs w:val="30"/>
          <w:lang w:val="en-US" w:eastAsia="zh-CN"/>
        </w:rPr>
        <w:t>3</w:t>
      </w:r>
      <w:bookmarkStart w:id="0" w:name="_GoBack"/>
      <w:bookmarkEnd w:id="0"/>
      <w:r>
        <w:rPr>
          <w:rFonts w:hint="eastAsia" w:ascii="宋体" w:hAnsi="宋体" w:eastAsia="宋体" w:cs="宋体"/>
          <w:b/>
          <w:bCs/>
          <w:sz w:val="30"/>
          <w:szCs w:val="30"/>
          <w:lang w:val="en-US" w:eastAsia="zh-CN"/>
        </w:rPr>
        <w:t>、供水效益</w:t>
      </w:r>
    </w:p>
    <w:p>
      <w:pPr>
        <w:keepNext w:val="0"/>
        <w:keepLines w:val="0"/>
        <w:pageBreakBefore w:val="0"/>
        <w:widowControl w:val="0"/>
        <w:kinsoku/>
        <w:wordWrap/>
        <w:overflowPunct/>
        <w:topLinePunct w:val="0"/>
        <w:bidi w:val="0"/>
        <w:spacing w:line="600" w:lineRule="exact"/>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本工程建成后，2035年城镇生活及工业供水的多年平均供水量为2479万m3，根据推荐水价1.5元/m3计算，年供水收益为3719万元。</w:t>
      </w:r>
    </w:p>
    <w:p>
      <w:pPr>
        <w:keepNext w:val="0"/>
        <w:keepLines w:val="0"/>
        <w:pageBreakBefore w:val="0"/>
        <w:widowControl w:val="0"/>
        <w:kinsoku/>
        <w:wordWrap/>
        <w:overflowPunct/>
        <w:topLinePunct w:val="0"/>
        <w:bidi w:val="0"/>
        <w:adjustRightInd w:val="0"/>
        <w:snapToGrid w:val="0"/>
        <w:spacing w:line="600" w:lineRule="exact"/>
        <w:ind w:firstLine="602" w:firstLineChars="200"/>
        <w:jc w:val="both"/>
        <w:textAlignment w:val="center"/>
        <w:rPr>
          <w:rFonts w:hint="eastAsia" w:ascii="宋体" w:hAnsi="宋体" w:eastAsia="宋体" w:cs="宋体"/>
          <w:b/>
          <w:bCs/>
          <w:sz w:val="30"/>
          <w:szCs w:val="30"/>
        </w:rPr>
      </w:pPr>
      <w:r>
        <w:rPr>
          <w:rFonts w:hint="eastAsia" w:ascii="宋体" w:hAnsi="宋体" w:eastAsia="宋体" w:cs="宋体"/>
          <w:b/>
          <w:bCs/>
          <w:sz w:val="30"/>
          <w:szCs w:val="30"/>
          <w:lang w:eastAsia="zh-CN"/>
        </w:rPr>
        <w:t>五、项目推进情况</w:t>
      </w:r>
    </w:p>
    <w:p>
      <w:pPr>
        <w:keepNext w:val="0"/>
        <w:keepLines w:val="0"/>
        <w:pageBreakBefore w:val="0"/>
        <w:widowControl w:val="0"/>
        <w:kinsoku/>
        <w:wordWrap/>
        <w:overflowPunct/>
        <w:topLinePunct w:val="0"/>
        <w:bidi w:val="0"/>
        <w:spacing w:line="600" w:lineRule="exact"/>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2022年5月23日，浙江省水利厅发布了《浙江省水利厅关于龙泉市均溪三级水库改建工程项目建议书审查意见的函》（浙水函﹝2022﹞402号），基本同意本工程的工程任务、建设内容、规模及设计标准等。</w:t>
      </w:r>
    </w:p>
    <w:p>
      <w:pPr>
        <w:keepNext w:val="0"/>
        <w:keepLines w:val="0"/>
        <w:pageBreakBefore w:val="0"/>
        <w:widowControl w:val="0"/>
        <w:kinsoku/>
        <w:wordWrap/>
        <w:overflowPunct/>
        <w:topLinePunct w:val="0"/>
        <w:bidi w:val="0"/>
        <w:spacing w:line="600" w:lineRule="exact"/>
        <w:ind w:firstLine="600" w:firstLineChars="20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2022年5月25日通过省发改委（浙发改项字〔2022〕143 号）批复立项。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118C2"/>
    <w:multiLevelType w:val="singleLevel"/>
    <w:tmpl w:val="A4E118C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5MmNmODQ3ZDc3NDJjNTFkN2RiNjNjNThlOTc2ZGQifQ=="/>
  </w:docVars>
  <w:rsids>
    <w:rsidRoot w:val="00000000"/>
    <w:rsid w:val="04087437"/>
    <w:rsid w:val="055C0B15"/>
    <w:rsid w:val="065C5133"/>
    <w:rsid w:val="085B3FE2"/>
    <w:rsid w:val="0BD26B44"/>
    <w:rsid w:val="0CE670B7"/>
    <w:rsid w:val="0DE10FB3"/>
    <w:rsid w:val="11EA7973"/>
    <w:rsid w:val="14224478"/>
    <w:rsid w:val="142C49C9"/>
    <w:rsid w:val="1B895D12"/>
    <w:rsid w:val="1C564703"/>
    <w:rsid w:val="1CEC24E7"/>
    <w:rsid w:val="1CF0177E"/>
    <w:rsid w:val="1E9B3765"/>
    <w:rsid w:val="1F6911DB"/>
    <w:rsid w:val="25470625"/>
    <w:rsid w:val="292C1225"/>
    <w:rsid w:val="2A8458A4"/>
    <w:rsid w:val="2B2C4AF8"/>
    <w:rsid w:val="2D5E44C9"/>
    <w:rsid w:val="2E887491"/>
    <w:rsid w:val="358C595A"/>
    <w:rsid w:val="36131151"/>
    <w:rsid w:val="3B4B7A29"/>
    <w:rsid w:val="3F534977"/>
    <w:rsid w:val="44057604"/>
    <w:rsid w:val="4618021C"/>
    <w:rsid w:val="47FC4872"/>
    <w:rsid w:val="49B5344C"/>
    <w:rsid w:val="4D9C465A"/>
    <w:rsid w:val="505B1569"/>
    <w:rsid w:val="51AA739E"/>
    <w:rsid w:val="54D22A5D"/>
    <w:rsid w:val="55755B6D"/>
    <w:rsid w:val="5A9576F4"/>
    <w:rsid w:val="5C76482C"/>
    <w:rsid w:val="5E166C33"/>
    <w:rsid w:val="628B062F"/>
    <w:rsid w:val="6441188A"/>
    <w:rsid w:val="64EB55CA"/>
    <w:rsid w:val="6530417F"/>
    <w:rsid w:val="69E16906"/>
    <w:rsid w:val="6CCD5492"/>
    <w:rsid w:val="6E45550F"/>
    <w:rsid w:val="6FFC1AD4"/>
    <w:rsid w:val="70F53562"/>
    <w:rsid w:val="72AD1841"/>
    <w:rsid w:val="73857FAC"/>
    <w:rsid w:val="78343EC4"/>
    <w:rsid w:val="784555D9"/>
    <w:rsid w:val="792E1A67"/>
    <w:rsid w:val="7A8C3E32"/>
    <w:rsid w:val="7FE16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567"/>
    </w:pPr>
    <w:rPr>
      <w:rFonts w:ascii="Times New Roman" w:hAnsi="Times New Roman" w:eastAsia="宋体" w:cs="Times New Roman"/>
      <w:szCs w:val="24"/>
    </w:rPr>
  </w:style>
  <w:style w:type="paragraph" w:customStyle="1" w:styleId="5">
    <w:name w:val="ZDWP正文"/>
    <w:basedOn w:val="1"/>
    <w:qFormat/>
    <w:uiPriority w:val="0"/>
    <w:pPr>
      <w:autoSpaceDE w:val="0"/>
      <w:autoSpaceDN w:val="0"/>
      <w:adjustRightInd w:val="0"/>
      <w:snapToGrid w:val="0"/>
      <w:ind w:firstLine="567"/>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1640</Words>
  <Characters>1841</Characters>
  <Lines>0</Lines>
  <Paragraphs>0</Paragraphs>
  <TotalTime>20</TotalTime>
  <ScaleCrop>false</ScaleCrop>
  <LinksUpToDate>false</LinksUpToDate>
  <CharactersWithSpaces>1845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2022-04-19T12:03:00Z</dcterms:created>
  <dc:creator>Administrator</dc:creator>
  <cp:lastModifiedBy>李小肥</cp:lastModifiedBy>
  <dcterms:modified xsi:type="dcterms:W3CDTF">2022-10-26T01:39:35Z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A8D1A37A31724937AFF55ACE5394333F</vt:lpwstr>
  </property>
</Properties>
</file>