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0" w:afterAutospacing="0" w:line="500" w:lineRule="atLeast"/>
        <w:ind w:left="0" w:right="0" w:firstLine="420"/>
        <w:jc w:val="center"/>
      </w:pPr>
      <w:r>
        <w:rPr>
          <w:rStyle w:val="5"/>
          <w:rFonts w:hint="eastAsia" w:ascii="宋体" w:hAnsi="宋体" w:eastAsia="宋体" w:cs="宋体"/>
          <w:sz w:val="36"/>
          <w:szCs w:val="36"/>
        </w:rPr>
        <w:t>关于印发《浙江省普通建筑用石</w:t>
      </w:r>
    </w:p>
    <w:p>
      <w:pPr>
        <w:pStyle w:val="2"/>
        <w:keepNext w:val="0"/>
        <w:keepLines w:val="0"/>
        <w:widowControl/>
        <w:suppressLineNumbers w:val="0"/>
        <w:spacing w:before="300" w:beforeAutospacing="0" w:after="0" w:afterAutospacing="0" w:line="500" w:lineRule="atLeast"/>
        <w:ind w:left="0" w:right="0" w:firstLine="420"/>
        <w:jc w:val="center"/>
      </w:pPr>
      <w:r>
        <w:rPr>
          <w:rStyle w:val="5"/>
          <w:rFonts w:hint="eastAsia" w:ascii="宋体" w:hAnsi="宋体" w:eastAsia="宋体" w:cs="宋体"/>
          <w:sz w:val="36"/>
          <w:szCs w:val="36"/>
        </w:rPr>
        <w:t>矿产资源采矿权拍卖及拍卖所得</w:t>
      </w:r>
    </w:p>
    <w:p>
      <w:pPr>
        <w:pStyle w:val="2"/>
        <w:keepNext w:val="0"/>
        <w:keepLines w:val="0"/>
        <w:widowControl/>
        <w:suppressLineNumbers w:val="0"/>
        <w:spacing w:before="300" w:beforeAutospacing="0" w:after="0" w:afterAutospacing="0" w:line="500" w:lineRule="atLeast"/>
        <w:ind w:left="0" w:right="0" w:firstLine="420"/>
        <w:jc w:val="center"/>
      </w:pPr>
      <w:r>
        <w:rPr>
          <w:rStyle w:val="5"/>
          <w:rFonts w:hint="eastAsia" w:ascii="宋体" w:hAnsi="宋体" w:eastAsia="宋体" w:cs="宋体"/>
          <w:sz w:val="36"/>
          <w:szCs w:val="36"/>
        </w:rPr>
        <w:t>管理暂行办法》的通知</w:t>
      </w:r>
    </w:p>
    <w:p>
      <w:pPr>
        <w:pStyle w:val="2"/>
        <w:keepNext w:val="0"/>
        <w:keepLines w:val="0"/>
        <w:widowControl/>
        <w:suppressLineNumbers w:val="0"/>
        <w:spacing w:before="300" w:beforeAutospacing="0" w:after="0" w:afterAutospacing="0" w:line="500" w:lineRule="atLeast"/>
        <w:ind w:left="0" w:right="0" w:firstLine="420"/>
        <w:jc w:val="left"/>
      </w:pPr>
      <w:r>
        <w:t>   </w:t>
      </w:r>
    </w:p>
    <w:p>
      <w:pPr>
        <w:pStyle w:val="2"/>
        <w:keepNext w:val="0"/>
        <w:keepLines w:val="0"/>
        <w:widowControl/>
        <w:suppressLineNumbers w:val="0"/>
        <w:spacing w:before="300" w:beforeAutospacing="0" w:after="0" w:afterAutospacing="0" w:line="500" w:lineRule="atLeast"/>
        <w:ind w:left="0" w:right="0" w:firstLine="420"/>
        <w:jc w:val="center"/>
      </w:pPr>
      <w:r>
        <w:rPr>
          <w:rFonts w:hint="eastAsia" w:ascii="宋体" w:hAnsi="宋体" w:eastAsia="宋体" w:cs="宋体"/>
        </w:rPr>
        <w:t>浙土资发</w:t>
      </w:r>
      <w:r>
        <w:t>[2001]223</w:t>
      </w:r>
      <w:r>
        <w:rPr>
          <w:rFonts w:hint="eastAsia" w:ascii="宋体" w:hAnsi="宋体" w:eastAsia="宋体" w:cs="宋体"/>
        </w:rPr>
        <w:t>号</w:t>
      </w:r>
    </w:p>
    <w:p>
      <w:pPr>
        <w:pStyle w:val="2"/>
        <w:keepNext w:val="0"/>
        <w:keepLines w:val="0"/>
        <w:widowControl/>
        <w:suppressLineNumbers w:val="0"/>
        <w:spacing w:before="300" w:beforeAutospacing="0" w:after="0" w:afterAutospacing="0" w:line="500" w:lineRule="atLeast"/>
        <w:ind w:left="0" w:right="0" w:firstLine="420"/>
        <w:jc w:val="left"/>
      </w:pPr>
      <w:r>
        <w:t> </w:t>
      </w:r>
    </w:p>
    <w:p>
      <w:pPr>
        <w:pStyle w:val="2"/>
        <w:keepNext w:val="0"/>
        <w:keepLines w:val="0"/>
        <w:widowControl/>
        <w:suppressLineNumbers w:val="0"/>
        <w:spacing w:before="300" w:beforeAutospacing="0" w:after="0" w:afterAutospacing="0" w:line="500" w:lineRule="atLeast"/>
        <w:ind w:left="0" w:right="0"/>
        <w:jc w:val="left"/>
      </w:pPr>
      <w:r>
        <w:rPr>
          <w:rFonts w:hint="eastAsia" w:ascii="宋体" w:hAnsi="宋体" w:eastAsia="宋体" w:cs="宋体"/>
        </w:rPr>
        <w:t>各市、县</w:t>
      </w:r>
      <w:r>
        <w:t>(</w:t>
      </w:r>
      <w:r>
        <w:rPr>
          <w:rFonts w:hint="eastAsia" w:ascii="宋体" w:hAnsi="宋体" w:eastAsia="宋体" w:cs="宋体"/>
        </w:rPr>
        <w:t>市、区</w:t>
      </w:r>
      <w:r>
        <w:t>)</w:t>
      </w:r>
      <w:r>
        <w:rPr>
          <w:rFonts w:hint="eastAsia" w:ascii="宋体" w:hAnsi="宋体" w:eastAsia="宋体" w:cs="宋体"/>
        </w:rPr>
        <w:t>地质矿产主管部门、财政局：</w:t>
      </w:r>
    </w:p>
    <w:p>
      <w:pPr>
        <w:pStyle w:val="2"/>
        <w:keepNext w:val="0"/>
        <w:keepLines w:val="0"/>
        <w:widowControl/>
        <w:suppressLineNumbers w:val="0"/>
        <w:spacing w:before="300" w:beforeAutospacing="0" w:after="0" w:afterAutospacing="0" w:line="500" w:lineRule="atLeast"/>
        <w:ind w:left="0" w:right="0" w:firstLine="420"/>
        <w:jc w:val="left"/>
      </w:pPr>
      <w:r>
        <w:rPr>
          <w:rFonts w:hint="eastAsia" w:ascii="宋体" w:hAnsi="宋体" w:eastAsia="宋体" w:cs="宋体"/>
        </w:rPr>
        <w:t>为维护矿产资源国家所有权益，建立规范、开放、竞争有序的采矿权市场机制，规范我省普通建筑用石矿产资源的采矿权拍卖活动和拍卖所得管理，依据《中华人民共和国矿产资源法》、《中华人民共和国拍卖法》、《浙江省矿产资源管理条例》的有关规定，制定了《浙江省普通建筑用石矿产资源采矿权拍卖及拍卖所得管理暂行办法》。现印发给你们，请遵照执行。</w:t>
      </w:r>
    </w:p>
    <w:p>
      <w:pPr>
        <w:pStyle w:val="2"/>
        <w:keepNext w:val="0"/>
        <w:keepLines w:val="0"/>
        <w:widowControl/>
        <w:suppressLineNumbers w:val="0"/>
        <w:spacing w:before="300" w:beforeAutospacing="0" w:after="0" w:afterAutospacing="0" w:line="500" w:lineRule="atLeast"/>
        <w:ind w:left="0" w:right="0" w:firstLine="420"/>
        <w:jc w:val="left"/>
      </w:pPr>
      <w:r>
        <w:t>  </w:t>
      </w:r>
    </w:p>
    <w:p>
      <w:pPr>
        <w:pStyle w:val="2"/>
        <w:keepNext w:val="0"/>
        <w:keepLines w:val="0"/>
        <w:widowControl/>
        <w:suppressLineNumbers w:val="0"/>
        <w:spacing w:before="300" w:beforeAutospacing="0" w:after="0" w:afterAutospacing="0" w:line="500" w:lineRule="atLeast"/>
        <w:ind w:left="0" w:right="0" w:firstLine="5880"/>
        <w:jc w:val="left"/>
      </w:pPr>
      <w:r>
        <w:t> </w:t>
      </w:r>
      <w:r>
        <w:rPr>
          <w:rFonts w:hint="eastAsia" w:ascii="宋体" w:hAnsi="宋体" w:eastAsia="宋体" w:cs="宋体"/>
        </w:rPr>
        <w:t>浙江省国土资源厅</w:t>
      </w:r>
    </w:p>
    <w:p>
      <w:pPr>
        <w:pStyle w:val="2"/>
        <w:keepNext w:val="0"/>
        <w:keepLines w:val="0"/>
        <w:widowControl/>
        <w:suppressLineNumbers w:val="0"/>
        <w:spacing w:before="300" w:beforeAutospacing="0" w:after="0" w:afterAutospacing="0" w:line="500" w:lineRule="atLeast"/>
        <w:ind w:left="0" w:right="0" w:firstLine="420"/>
        <w:jc w:val="left"/>
      </w:pPr>
      <w:r>
        <w:t xml:space="preserve">                                                       </w:t>
      </w:r>
      <w:r>
        <w:rPr>
          <w:rFonts w:hint="eastAsia" w:ascii="宋体" w:hAnsi="宋体" w:eastAsia="宋体" w:cs="宋体"/>
        </w:rPr>
        <w:t>浙江省财政厅</w:t>
      </w:r>
    </w:p>
    <w:p>
      <w:pPr>
        <w:pStyle w:val="2"/>
        <w:keepNext w:val="0"/>
        <w:keepLines w:val="0"/>
        <w:widowControl/>
        <w:suppressLineNumbers w:val="0"/>
        <w:spacing w:before="300" w:beforeAutospacing="0" w:after="0" w:afterAutospacing="0" w:line="500" w:lineRule="atLeast"/>
        <w:ind w:left="0" w:right="0" w:firstLine="420"/>
        <w:jc w:val="left"/>
      </w:pPr>
      <w:r>
        <w:t xml:space="preserve">                                                     </w:t>
      </w:r>
      <w:r>
        <w:rPr>
          <w:rFonts w:hint="eastAsia" w:ascii="宋体" w:hAnsi="宋体" w:eastAsia="宋体" w:cs="宋体"/>
        </w:rPr>
        <w:t>二</w:t>
      </w:r>
      <w:r>
        <w:t>OO</w:t>
      </w:r>
      <w:r>
        <w:rPr>
          <w:rFonts w:hint="eastAsia" w:ascii="宋体" w:hAnsi="宋体" w:eastAsia="宋体" w:cs="宋体"/>
        </w:rPr>
        <w:t>一年六月五日</w:t>
      </w:r>
    </w:p>
    <w:p>
      <w:pPr>
        <w:pStyle w:val="2"/>
        <w:keepNext w:val="0"/>
        <w:keepLines w:val="0"/>
        <w:widowControl/>
        <w:suppressLineNumbers w:val="0"/>
        <w:spacing w:before="300" w:beforeAutospacing="0" w:after="0" w:afterAutospacing="0" w:line="500" w:lineRule="atLeast"/>
        <w:ind w:left="0" w:right="0"/>
        <w:jc w:val="left"/>
      </w:pPr>
      <w:r>
        <w:t> </w:t>
      </w:r>
    </w:p>
    <w:p>
      <w:pPr>
        <w:pStyle w:val="2"/>
        <w:keepNext w:val="0"/>
        <w:keepLines w:val="0"/>
        <w:widowControl/>
        <w:suppressLineNumbers w:val="0"/>
        <w:spacing w:before="300" w:beforeAutospacing="0" w:after="0" w:afterAutospacing="0" w:line="500" w:lineRule="atLeast"/>
        <w:ind w:left="0" w:right="0"/>
        <w:jc w:val="center"/>
      </w:pPr>
      <w:r>
        <w:rPr>
          <w:rStyle w:val="5"/>
          <w:rFonts w:hint="eastAsia" w:ascii="宋体" w:hAnsi="宋体" w:eastAsia="宋体" w:cs="宋体"/>
          <w:sz w:val="36"/>
          <w:szCs w:val="36"/>
        </w:rPr>
        <w:t>浙江省普通建筑用石矿产资源</w:t>
      </w:r>
    </w:p>
    <w:p>
      <w:pPr>
        <w:pStyle w:val="2"/>
        <w:keepNext w:val="0"/>
        <w:keepLines w:val="0"/>
        <w:widowControl/>
        <w:suppressLineNumbers w:val="0"/>
        <w:spacing w:before="300" w:beforeAutospacing="0" w:after="0" w:afterAutospacing="0" w:line="500" w:lineRule="atLeast"/>
        <w:ind w:left="0" w:right="0"/>
        <w:jc w:val="center"/>
      </w:pPr>
      <w:r>
        <w:rPr>
          <w:rStyle w:val="5"/>
          <w:rFonts w:hint="eastAsia" w:ascii="宋体" w:hAnsi="宋体" w:eastAsia="宋体" w:cs="宋体"/>
          <w:sz w:val="36"/>
          <w:szCs w:val="36"/>
        </w:rPr>
        <w:t>采矿权拍卖及拍卖所得管理暂行办法</w:t>
      </w:r>
    </w:p>
    <w:p>
      <w:pPr>
        <w:pStyle w:val="2"/>
        <w:keepNext w:val="0"/>
        <w:keepLines w:val="0"/>
        <w:widowControl/>
        <w:suppressLineNumbers w:val="0"/>
        <w:spacing w:before="300" w:beforeAutospacing="0" w:after="0" w:afterAutospacing="0" w:line="500" w:lineRule="atLeast"/>
        <w:ind w:left="0" w:right="0"/>
        <w:jc w:val="left"/>
      </w:pPr>
      <w:r>
        <w:t> </w:t>
      </w:r>
    </w:p>
    <w:p>
      <w:pPr>
        <w:pStyle w:val="2"/>
        <w:keepNext w:val="0"/>
        <w:keepLines w:val="0"/>
        <w:widowControl/>
        <w:suppressLineNumbers w:val="0"/>
        <w:spacing w:before="300" w:beforeAutospacing="0" w:after="0" w:afterAutospacing="0" w:line="500" w:lineRule="atLeast"/>
        <w:ind w:left="0" w:right="0" w:firstLine="422"/>
        <w:jc w:val="left"/>
      </w:pPr>
      <w:r>
        <w:rPr>
          <w:rStyle w:val="5"/>
          <w:rFonts w:hint="eastAsia" w:ascii="宋体" w:hAnsi="宋体" w:eastAsia="宋体" w:cs="宋体"/>
        </w:rPr>
        <w:t>第一条</w:t>
      </w:r>
      <w:r>
        <w:t xml:space="preserve">  </w:t>
      </w:r>
      <w:r>
        <w:rPr>
          <w:rFonts w:hint="eastAsia" w:ascii="宋体" w:hAnsi="宋体" w:eastAsia="宋体" w:cs="宋体"/>
        </w:rPr>
        <w:t>为维护矿产资源国家所有权，建立规范、开放、竞争、有序的采矿权市场机制，规范我省普通建筑用石矿产资源的采矿权拍卖活动，根据《中华人民共和国矿产资源法》、</w:t>
      </w:r>
      <w:r>
        <w:t xml:space="preserve">  </w:t>
      </w:r>
      <w:r>
        <w:rPr>
          <w:rFonts w:hint="eastAsia" w:ascii="宋体" w:hAnsi="宋体" w:eastAsia="宋体" w:cs="宋体"/>
        </w:rPr>
        <w:t>《中华人民共和国拍卖法》、《浙江省矿产资源管理条例》等有关法律法规，结合本省实际，制定本办法。</w:t>
      </w:r>
    </w:p>
    <w:p>
      <w:pPr>
        <w:pStyle w:val="2"/>
        <w:keepNext w:val="0"/>
        <w:keepLines w:val="0"/>
        <w:widowControl/>
        <w:suppressLineNumbers w:val="0"/>
        <w:spacing w:before="300" w:beforeAutospacing="0" w:after="0" w:afterAutospacing="0" w:line="500" w:lineRule="atLeast"/>
        <w:ind w:left="0" w:right="0" w:firstLine="422"/>
        <w:jc w:val="left"/>
      </w:pPr>
      <w:r>
        <w:rPr>
          <w:rStyle w:val="5"/>
          <w:rFonts w:hint="eastAsia" w:ascii="宋体" w:hAnsi="宋体" w:eastAsia="宋体" w:cs="宋体"/>
        </w:rPr>
        <w:t>第二条</w:t>
      </w:r>
      <w:r>
        <w:t xml:space="preserve">  </w:t>
      </w:r>
      <w:r>
        <w:rPr>
          <w:rFonts w:hint="eastAsia" w:ascii="宋体" w:hAnsi="宋体" w:eastAsia="宋体" w:cs="宋体"/>
        </w:rPr>
        <w:t>普通建筑用石矿产资源的采矿权，原则上采用拍卖的方式有偿取得。</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第三条</w:t>
      </w:r>
      <w:r>
        <w:t xml:space="preserve">  </w:t>
      </w:r>
      <w:r>
        <w:rPr>
          <w:rFonts w:hint="eastAsia" w:ascii="宋体" w:hAnsi="宋体" w:eastAsia="宋体" w:cs="宋体"/>
        </w:rPr>
        <w:t>采矿权的设置应当符合矿产资源规划和地质环境保护规划，服从矿产资源宏观调控政策的要求，矿区范围明确，无山地、山林、道路等使用权属纠纷。</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Pr>
        <w:t> </w:t>
      </w:r>
      <w:r>
        <w:rPr>
          <w:rStyle w:val="5"/>
          <w:rFonts w:hint="eastAsia" w:ascii="宋体" w:hAnsi="宋体" w:eastAsia="宋体" w:cs="宋体"/>
        </w:rPr>
        <w:t>第四条</w:t>
      </w:r>
      <w:r>
        <w:t xml:space="preserve">  </w:t>
      </w:r>
      <w:r>
        <w:rPr>
          <w:rFonts w:hint="eastAsia" w:ascii="宋体" w:hAnsi="宋体" w:eastAsia="宋体" w:cs="宋体"/>
        </w:rPr>
        <w:t>各级政府地质矿产主管部门是采矿权拍卖管理机关。各级地质矿产主管部门根据法定的采矿权审批权限，组织本行政区域内的采矿权拍卖工作。</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第五条</w:t>
      </w:r>
      <w:r>
        <w:t xml:space="preserve">  </w:t>
      </w:r>
      <w:r>
        <w:rPr>
          <w:rFonts w:hint="eastAsia" w:ascii="宋体" w:hAnsi="宋体" w:eastAsia="宋体" w:cs="宋体"/>
        </w:rPr>
        <w:t>各县</w:t>
      </w:r>
      <w:r>
        <w:t>(</w:t>
      </w:r>
      <w:r>
        <w:rPr>
          <w:rFonts w:hint="eastAsia" w:ascii="宋体" w:hAnsi="宋体" w:eastAsia="宋体" w:cs="宋体"/>
        </w:rPr>
        <w:t>市、区</w:t>
      </w:r>
      <w:r>
        <w:t>)</w:t>
      </w:r>
      <w:r>
        <w:rPr>
          <w:rFonts w:hint="eastAsia" w:ascii="宋体" w:hAnsi="宋体" w:eastAsia="宋体" w:cs="宋体"/>
        </w:rPr>
        <w:t>地质矿产主管部门应当制定采矿权拍卖的年度工作计划，经设区的市级人民政府地质矿产主管部门审核汇总后，报经省地质矿产主管部门批准实施。</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Pr>
        <w:t>  </w:t>
      </w:r>
      <w:r>
        <w:rPr>
          <w:rStyle w:val="5"/>
          <w:rFonts w:hint="eastAsia" w:ascii="宋体" w:hAnsi="宋体" w:eastAsia="宋体" w:cs="宋体"/>
        </w:rPr>
        <w:t>第六条</w:t>
      </w:r>
      <w:r>
        <w:t xml:space="preserve">  </w:t>
      </w:r>
      <w:r>
        <w:rPr>
          <w:rFonts w:hint="eastAsia" w:ascii="宋体" w:hAnsi="宋体" w:eastAsia="宋体" w:cs="宋体"/>
        </w:rPr>
        <w:t>拟拍卖的采矿权应当进行评估。采矿权评估确认结果，作为确定该采矿权拍卖保留价的依据。不得将采矿权作为其他资产的依附物进行拍卖。依附于采矿权的其他资产不得与采矿权一起拍卖。</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第七条</w:t>
      </w:r>
      <w:r>
        <w:t xml:space="preserve">  </w:t>
      </w:r>
      <w:r>
        <w:rPr>
          <w:rFonts w:hint="eastAsia" w:ascii="宋体" w:hAnsi="宋体" w:eastAsia="宋体" w:cs="宋体"/>
        </w:rPr>
        <w:t>采矿权拍卖工作应当拟定具体方案，报经上一级地质矿产主管部门批准后实施。采矿权拍卖方案应当包括下列内容：</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一</w:t>
      </w:r>
      <w:r>
        <w:t>)</w:t>
      </w:r>
      <w:r>
        <w:rPr>
          <w:rFonts w:hint="eastAsia" w:ascii="宋体" w:hAnsi="宋体" w:eastAsia="宋体" w:cs="宋体"/>
        </w:rPr>
        <w:t>拟拍卖采矿权的矿区概况；</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二</w:t>
      </w:r>
      <w:r>
        <w:t>)</w:t>
      </w:r>
      <w:r>
        <w:rPr>
          <w:rFonts w:hint="eastAsia" w:ascii="宋体" w:hAnsi="宋体" w:eastAsia="宋体" w:cs="宋体"/>
        </w:rPr>
        <w:t>矿产资源合理开发利用和保护方案及其责任书；</w:t>
      </w:r>
      <w:r>
        <w:t>   </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三</w:t>
      </w:r>
      <w:r>
        <w:t>)</w:t>
      </w:r>
      <w:r>
        <w:rPr>
          <w:rFonts w:hint="eastAsia" w:ascii="宋体" w:hAnsi="宋体" w:eastAsia="宋体" w:cs="宋体"/>
        </w:rPr>
        <w:t>矿山自然生态环境治理方案及其责任书；</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四</w:t>
      </w:r>
      <w:r>
        <w:t>)</w:t>
      </w:r>
      <w:r>
        <w:rPr>
          <w:rFonts w:hint="eastAsia" w:ascii="宋体" w:hAnsi="宋体" w:eastAsia="宋体" w:cs="宋体"/>
        </w:rPr>
        <w:t>矿区范围及拐点坐标；</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五</w:t>
      </w:r>
      <w:r>
        <w:t>)</w:t>
      </w:r>
      <w:r>
        <w:rPr>
          <w:rFonts w:hint="eastAsia" w:ascii="宋体" w:hAnsi="宋体" w:eastAsia="宋体" w:cs="宋体"/>
        </w:rPr>
        <w:t>地质简测报告及采矿权有效期设置意见；</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六</w:t>
      </w:r>
      <w:r>
        <w:t>)</w:t>
      </w:r>
      <w:r>
        <w:rPr>
          <w:rFonts w:hint="eastAsia" w:ascii="宋体" w:hAnsi="宋体" w:eastAsia="宋体" w:cs="宋体"/>
        </w:rPr>
        <w:t>与采矿权有关的道路、山林、土地、青苗等协调处理的法律文书；</w:t>
      </w:r>
    </w:p>
    <w:p>
      <w:pPr>
        <w:pStyle w:val="2"/>
        <w:keepNext w:val="0"/>
        <w:keepLines w:val="0"/>
        <w:widowControl/>
        <w:suppressLineNumbers w:val="0"/>
        <w:spacing w:before="300" w:beforeAutospacing="0" w:after="0" w:afterAutospacing="0" w:line="500" w:lineRule="atLeast"/>
        <w:ind w:left="0" w:right="0"/>
        <w:jc w:val="left"/>
      </w:pPr>
      <w:r>
        <w:t>    (</w:t>
      </w:r>
      <w:r>
        <w:rPr>
          <w:rFonts w:hint="eastAsia" w:ascii="宋体" w:hAnsi="宋体" w:eastAsia="宋体" w:cs="宋体"/>
        </w:rPr>
        <w:t>七</w:t>
      </w:r>
      <w:r>
        <w:t>)</w:t>
      </w:r>
      <w:r>
        <w:rPr>
          <w:rFonts w:hint="eastAsia" w:ascii="宋体" w:hAnsi="宋体" w:eastAsia="宋体" w:cs="宋体"/>
        </w:rPr>
        <w:t>上级地质矿产主管部门要求的其他资料。</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第八条</w:t>
      </w:r>
      <w:r>
        <w:t xml:space="preserve">  </w:t>
      </w:r>
      <w:r>
        <w:rPr>
          <w:rFonts w:hint="eastAsia" w:ascii="宋体" w:hAnsi="宋体" w:eastAsia="宋体" w:cs="宋体"/>
        </w:rPr>
        <w:t>采矿权的有效期限应当根据矿区范围内的矿产资源状况和生产规模等因素合理确定。</w:t>
      </w:r>
    </w:p>
    <w:p>
      <w:pPr>
        <w:pStyle w:val="2"/>
        <w:keepNext w:val="0"/>
        <w:keepLines w:val="0"/>
        <w:widowControl/>
        <w:suppressLineNumbers w:val="0"/>
        <w:spacing w:before="300" w:beforeAutospacing="0" w:after="0" w:afterAutospacing="0" w:line="500" w:lineRule="atLeast"/>
        <w:ind w:left="0" w:right="0"/>
        <w:jc w:val="left"/>
      </w:pPr>
      <w:r>
        <w:t xml:space="preserve">    </w:t>
      </w:r>
      <w:r>
        <w:rPr>
          <w:rFonts w:hint="eastAsia" w:ascii="宋体" w:hAnsi="宋体" w:eastAsia="宋体" w:cs="宋体"/>
        </w:rPr>
        <w:t>采矿权有效期届满，采矿许可证自行废止，采矿权无偿收归国有。</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第九条</w:t>
      </w:r>
      <w:r>
        <w:t xml:space="preserve">  </w:t>
      </w:r>
      <w:r>
        <w:rPr>
          <w:rFonts w:hint="eastAsia" w:ascii="宋体" w:hAnsi="宋体" w:eastAsia="宋体" w:cs="宋体"/>
        </w:rPr>
        <w:t>采矿权竞买人应当具备法律法规规定的条件。</w:t>
      </w:r>
    </w:p>
    <w:p>
      <w:pPr>
        <w:pStyle w:val="2"/>
        <w:keepNext w:val="0"/>
        <w:keepLines w:val="0"/>
        <w:widowControl/>
        <w:suppressLineNumbers w:val="0"/>
        <w:spacing w:before="300" w:beforeAutospacing="0" w:after="0" w:afterAutospacing="0" w:line="500" w:lineRule="atLeast"/>
        <w:ind w:left="0" w:right="0"/>
        <w:jc w:val="left"/>
      </w:pPr>
      <w:r>
        <w:t xml:space="preserve">    </w:t>
      </w:r>
      <w:r>
        <w:rPr>
          <w:rFonts w:hint="eastAsia" w:ascii="宋体" w:hAnsi="宋体" w:eastAsia="宋体" w:cs="宋体"/>
        </w:rPr>
        <w:t>采矿权竞买人应当对地质矿产主管部门依法提出的矿产资源合理开发利用和保护方案及矿山自然生态环境治理方案予以书面承诺后，方能取得竞买资格。</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第十条</w:t>
      </w:r>
      <w:r>
        <w:t xml:space="preserve">  </w:t>
      </w:r>
      <w:r>
        <w:rPr>
          <w:rFonts w:hint="eastAsia" w:ascii="宋体" w:hAnsi="宋体" w:eastAsia="宋体" w:cs="宋体"/>
        </w:rPr>
        <w:t>采矿权拍卖成交后，买卖人应当</w:t>
      </w:r>
      <w:r>
        <w:t>30</w:t>
      </w:r>
      <w:r>
        <w:rPr>
          <w:rFonts w:hint="eastAsia" w:ascii="宋体" w:hAnsi="宋体" w:eastAsia="宋体" w:cs="宋体"/>
        </w:rPr>
        <w:t>日内到县级以上人民政府地质矿产主管部门依法办理采矿登记手续，签订矿产资源合理开发利用和保护及矿山自然生态环境治理责任书，并缴纳矿山自然生态环境治理备用金。</w:t>
      </w:r>
      <w:r>
        <w:t>   </w:t>
      </w:r>
    </w:p>
    <w:p>
      <w:pPr>
        <w:pStyle w:val="2"/>
        <w:keepNext w:val="0"/>
        <w:keepLines w:val="0"/>
        <w:widowControl/>
        <w:suppressLineNumbers w:val="0"/>
        <w:spacing w:before="300" w:beforeAutospacing="0" w:after="0" w:afterAutospacing="0" w:line="500" w:lineRule="atLeast"/>
        <w:ind w:left="0" w:right="0" w:firstLine="420"/>
        <w:jc w:val="left"/>
      </w:pPr>
      <w:r>
        <w:rPr>
          <w:rStyle w:val="5"/>
          <w:rFonts w:hint="eastAsia" w:ascii="宋体" w:hAnsi="宋体" w:eastAsia="宋体" w:cs="宋体"/>
        </w:rPr>
        <w:t>第十一条</w:t>
      </w:r>
      <w:r>
        <w:t xml:space="preserve">  </w:t>
      </w:r>
      <w:r>
        <w:rPr>
          <w:rFonts w:hint="eastAsia" w:ascii="宋体" w:hAnsi="宋体" w:eastAsia="宋体" w:cs="宋体"/>
        </w:rPr>
        <w:t>通过拍卖方式取得的采矿权受法律保护，采矿权人应当依法缴纳矿产资源补偿费。</w:t>
      </w:r>
    </w:p>
    <w:p>
      <w:pPr>
        <w:pStyle w:val="2"/>
        <w:keepNext w:val="0"/>
        <w:keepLines w:val="0"/>
        <w:widowControl/>
        <w:suppressLineNumbers w:val="0"/>
        <w:spacing w:before="300" w:beforeAutospacing="0" w:after="0" w:afterAutospacing="0" w:line="500" w:lineRule="atLeast"/>
        <w:ind w:left="0" w:right="0" w:firstLine="420"/>
        <w:jc w:val="left"/>
      </w:pPr>
      <w:r>
        <w:rPr>
          <w:rStyle w:val="5"/>
          <w:rFonts w:hint="eastAsia" w:ascii="宋体" w:hAnsi="宋体" w:eastAsia="宋体" w:cs="宋体"/>
        </w:rPr>
        <w:t>第十二条</w:t>
      </w:r>
      <w:r>
        <w:t xml:space="preserve">  </w:t>
      </w:r>
      <w:r>
        <w:rPr>
          <w:rFonts w:hint="eastAsia" w:ascii="宋体" w:hAnsi="宋体" w:eastAsia="宋体" w:cs="宋体"/>
        </w:rPr>
        <w:t>采矿权拍卖所得是指采矿权通过拍卖形式取得的全部所得。采矿权拍卖所得上缴财政专户，实现“收支两条线”管理，专项用于地质矿产勘查、矿产资源保护与合理利用、矿山生态环境保护及采矿权拍卖工作所必需的成本费用。收取采矿权拍卖所得应使用省财政厅统一印制的专用票据。</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第十三条</w:t>
      </w:r>
      <w:r>
        <w:t xml:space="preserve">  </w:t>
      </w:r>
      <w:r>
        <w:rPr>
          <w:rFonts w:hint="eastAsia" w:ascii="宋体" w:hAnsi="宋体" w:eastAsia="宋体" w:cs="宋体"/>
        </w:rPr>
        <w:t>市、县，</w:t>
      </w:r>
      <w:r>
        <w:t>(</w:t>
      </w:r>
      <w:r>
        <w:rPr>
          <w:rFonts w:hint="eastAsia" w:ascii="宋体" w:hAnsi="宋体" w:eastAsia="宋体" w:cs="宋体"/>
        </w:rPr>
        <w:t>市、区</w:t>
      </w:r>
      <w:r>
        <w:t>)</w:t>
      </w:r>
      <w:r>
        <w:rPr>
          <w:rFonts w:hint="eastAsia" w:ascii="宋体" w:hAnsi="宋体" w:eastAsia="宋体" w:cs="宋体"/>
        </w:rPr>
        <w:t>采矿权拍卖所得的</w:t>
      </w:r>
      <w:r>
        <w:t>20%</w:t>
      </w:r>
      <w:r>
        <w:rPr>
          <w:rFonts w:hint="eastAsia" w:ascii="宋体" w:hAnsi="宋体" w:eastAsia="宋体" w:cs="宋体"/>
        </w:rPr>
        <w:t>上缴省财政，专项用于全省地质矿产勘查、矿产资源保护与合理利用等。</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Pr>
        <w:t> </w:t>
      </w:r>
      <w:r>
        <w:rPr>
          <w:rStyle w:val="5"/>
          <w:rFonts w:hint="eastAsia" w:ascii="宋体" w:hAnsi="宋体" w:eastAsia="宋体" w:cs="宋体"/>
        </w:rPr>
        <w:t>第十四条</w:t>
      </w:r>
      <w:r>
        <w:t xml:space="preserve">  </w:t>
      </w:r>
      <w:r>
        <w:rPr>
          <w:rFonts w:hint="eastAsia" w:ascii="宋体" w:hAnsi="宋体" w:eastAsia="宋体" w:cs="宋体"/>
        </w:rPr>
        <w:t>拍卖工作结束后，拍卖管理机关应当将拍卖工作有关的文件、资料装订成册、归档，并填写拍卖工作情况表，逐级上报省级地质矿产主管部门备案。</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第十五条</w:t>
      </w:r>
      <w:r>
        <w:t xml:space="preserve">  </w:t>
      </w:r>
      <w:r>
        <w:rPr>
          <w:rFonts w:hint="eastAsia" w:ascii="宋体" w:hAnsi="宋体" w:eastAsia="宋体" w:cs="宋体"/>
        </w:rPr>
        <w:t>上级地质矿产主管部门应当加强对下级地质矿产主管部门采矿权拍卖工作的监督检查和指导，及时解决拍卖工作中出现的问题，依法查处采矿权拍卖管理机关在拍卖活动中的违规行为。</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第十六条</w:t>
      </w:r>
      <w:r>
        <w:t xml:space="preserve">  </w:t>
      </w:r>
      <w:r>
        <w:rPr>
          <w:rFonts w:hint="eastAsia" w:ascii="宋体" w:hAnsi="宋体" w:eastAsia="宋体" w:cs="宋体"/>
        </w:rPr>
        <w:t>本办法所称普通建筑用石矿产资源，是指采用露天作业方式开采的只能用作普通建筑材料的建筑石料用灰岩、建筑用白云岩、辉绿岩、安山岩、闪长岩、花岗岩、凝灰岩、大理岩、砖瓦用砂岩、砖瓦用页岩、水泥配料用页岩、板岩等矿产资源。</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第十七条</w:t>
      </w:r>
      <w:r>
        <w:t xml:space="preserve">  </w:t>
      </w:r>
      <w:r>
        <w:rPr>
          <w:rFonts w:hint="eastAsia" w:ascii="宋体" w:hAnsi="宋体" w:eastAsia="宋体" w:cs="宋体"/>
        </w:rPr>
        <w:t>经省地质矿产主管部门同意，非国家出资勘查形成的、采用类似作业方式开采的其他矿产资源采矿权的拍卖工作可以参照本规定执行。</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第十八条</w:t>
      </w:r>
      <w:r>
        <w:t xml:space="preserve">  </w:t>
      </w:r>
      <w:r>
        <w:rPr>
          <w:rFonts w:hint="eastAsia" w:ascii="宋体" w:hAnsi="宋体" w:eastAsia="宋体" w:cs="宋体"/>
        </w:rPr>
        <w:t>对违反本办法的行为，依照有关法律法规、规章的规定执行。</w:t>
      </w:r>
    </w:p>
    <w:p>
      <w:pPr>
        <w:pStyle w:val="2"/>
        <w:keepNext w:val="0"/>
        <w:keepLines w:val="0"/>
        <w:widowControl/>
        <w:suppressLineNumbers w:val="0"/>
        <w:spacing w:before="300" w:beforeAutospacing="0" w:after="0" w:afterAutospacing="0" w:line="500" w:lineRule="atLeast"/>
        <w:ind w:left="0" w:right="0"/>
        <w:jc w:val="left"/>
      </w:pPr>
      <w:r>
        <w:t xml:space="preserve">    </w:t>
      </w:r>
      <w:r>
        <w:rPr>
          <w:rStyle w:val="5"/>
          <w:rFonts w:hint="eastAsia" w:ascii="宋体" w:hAnsi="宋体" w:eastAsia="宋体" w:cs="宋体"/>
        </w:rPr>
        <w:t>第十九条</w:t>
      </w:r>
      <w:r>
        <w:t xml:space="preserve">  </w:t>
      </w:r>
      <w:r>
        <w:rPr>
          <w:rFonts w:hint="eastAsia" w:ascii="宋体" w:hAnsi="宋体" w:eastAsia="宋体" w:cs="宋体"/>
        </w:rPr>
        <w:t>本办法由省国土资源厅、省财政厅解释。</w:t>
      </w:r>
    </w:p>
    <w:p>
      <w:pPr>
        <w:pStyle w:val="2"/>
        <w:keepNext w:val="0"/>
        <w:keepLines w:val="0"/>
        <w:widowControl/>
        <w:suppressLineNumbers w:val="0"/>
        <w:spacing w:before="300" w:beforeAutospacing="0" w:after="0" w:afterAutospacing="0" w:line="500" w:lineRule="atLeast"/>
        <w:ind w:left="0" w:right="0" w:firstLine="420"/>
        <w:jc w:val="left"/>
      </w:pPr>
      <w:r>
        <w:rPr>
          <w:rStyle w:val="5"/>
          <w:rFonts w:hint="eastAsia" w:ascii="宋体" w:hAnsi="宋体" w:eastAsia="宋体" w:cs="宋体"/>
        </w:rPr>
        <w:t>第二十条</w:t>
      </w:r>
      <w:r>
        <w:t xml:space="preserve">  </w:t>
      </w:r>
      <w:r>
        <w:rPr>
          <w:rFonts w:hint="eastAsia" w:ascii="宋体" w:hAnsi="宋体" w:eastAsia="宋体" w:cs="宋体"/>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GYzOTMxMjUzMzc2YTBjN2UwZjQyNzM3ZjVmMzYifQ=="/>
  </w:docVars>
  <w:rsids>
    <w:rsidRoot w:val="3B481A10"/>
    <w:rsid w:val="3B48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on"/>
    <w:basedOn w:val="4"/>
    <w:uiPriority w:val="0"/>
    <w:rPr>
      <w:color w:val="1853B7"/>
      <w:bdr w:val="none" w:color="auto" w:sz="0" w:space="0"/>
    </w:rPr>
  </w:style>
  <w:style w:type="character" w:customStyle="1" w:styleId="9">
    <w:name w:val="on1"/>
    <w:basedOn w:val="4"/>
    <w:uiPriority w:val="0"/>
    <w:rPr>
      <w:shd w:val="clear" w:fill="BD10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2022-12-30T06:59:00Z</dcterms:created>
  <dc:creator>Administrator</dc:creator>
  <cp:lastModifiedBy>Administrator</cp:lastModifiedBy>
  <dcterms:modified xsi:type="dcterms:W3CDTF">2022-12-30T06:59:46Z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DD1F96459241453F825D09FAA907D829</vt:lpwstr>
  </property>
</Properties>
</file>