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rFonts w:ascii="方正小标宋简体" w:hAnsi="方正小标宋简体" w:eastAsia="方正小标宋简体" w:cs="方正小标宋简体"/>
          <w:sz w:val="52"/>
          <w:szCs w:val="52"/>
        </w:rPr>
      </w:pPr>
    </w:p>
    <w:p>
      <w:pPr>
        <w:spacing w:line="660" w:lineRule="exact"/>
        <w:ind w:firstLine="0" w:firstLineChars="0"/>
        <w:rPr>
          <w:rFonts w:ascii="方正小标宋简体" w:hAnsi="方正小标宋简体" w:eastAsia="方正小标宋简体" w:cs="方正小标宋简体"/>
          <w:sz w:val="52"/>
          <w:szCs w:val="52"/>
        </w:rPr>
      </w:pPr>
    </w:p>
    <w:p>
      <w:pPr>
        <w:spacing w:line="700" w:lineRule="exact"/>
        <w:ind w:firstLine="0" w:firstLineChars="0"/>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龙泉市商务经济高质量发展</w:t>
      </w:r>
    </w:p>
    <w:p>
      <w:pPr>
        <w:spacing w:line="700" w:lineRule="exact"/>
        <w:ind w:firstLine="0" w:firstLineChars="0"/>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“十四五”规划</w:t>
      </w:r>
    </w:p>
    <w:p>
      <w:pPr>
        <w:spacing w:line="660" w:lineRule="exact"/>
        <w:ind w:firstLine="0" w:firstLineChars="0"/>
        <w:jc w:val="center"/>
        <w:rPr>
          <w:rFonts w:ascii="方正小标宋简体" w:hAnsi="微软雅黑" w:eastAsia="方正小标宋简体"/>
          <w:sz w:val="52"/>
          <w:szCs w:val="52"/>
        </w:rPr>
      </w:pPr>
      <w:r>
        <w:rPr>
          <w:rFonts w:hint="eastAsia" w:ascii="方正小标宋简体" w:hAnsi="微软雅黑" w:eastAsia="方正小标宋简体"/>
          <w:sz w:val="52"/>
          <w:szCs w:val="52"/>
        </w:rPr>
        <w:t>（2021-2025）</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ind w:firstLine="640"/>
        <w:jc w:val="center"/>
        <w:rPr>
          <w:rFonts w:ascii="黑体" w:hAnsi="黑体" w:eastAsia="黑体" w:cs="Lucida Sans Unicode"/>
          <w:bCs/>
          <w:sz w:val="32"/>
          <w:szCs w:val="32"/>
        </w:rPr>
      </w:pPr>
      <w:r>
        <w:rPr>
          <w:rFonts w:hint="eastAsia" w:ascii="黑体" w:hAnsi="黑体" w:eastAsia="黑体" w:cs="Lucida Sans Unicode"/>
          <w:bCs/>
          <w:sz w:val="32"/>
          <w:szCs w:val="32"/>
        </w:rPr>
        <w:t>龙泉市经济商务局</w:t>
      </w:r>
    </w:p>
    <w:p>
      <w:pPr>
        <w:ind w:firstLine="640"/>
        <w:jc w:val="center"/>
        <w:rPr>
          <w:rFonts w:ascii="黑体" w:hAnsi="黑体" w:eastAsia="黑体" w:cs="Lucida Sans Unicode"/>
          <w:bCs/>
          <w:sz w:val="32"/>
          <w:szCs w:val="32"/>
        </w:rPr>
      </w:pPr>
      <w:r>
        <w:rPr>
          <w:rFonts w:hint="eastAsia" w:ascii="黑体" w:hAnsi="黑体" w:eastAsia="黑体" w:cs="Lucida Sans Unicode"/>
          <w:bCs/>
          <w:sz w:val="32"/>
          <w:szCs w:val="32"/>
        </w:rPr>
        <w:t>二〇二一年十二月</w:t>
      </w:r>
    </w:p>
    <w:p>
      <w:pPr>
        <w:widowControl/>
        <w:spacing w:line="240" w:lineRule="auto"/>
        <w:ind w:firstLine="0" w:firstLineChars="0"/>
        <w:jc w:val="center"/>
        <w:rPr>
          <w:sz w:val="44"/>
          <w:szCs w:val="44"/>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widowControl/>
        <w:spacing w:line="240" w:lineRule="auto"/>
        <w:ind w:firstLine="0" w:firstLineChars="0"/>
        <w:jc w:val="center"/>
        <w:rPr>
          <w:sz w:val="44"/>
          <w:szCs w:val="44"/>
        </w:rPr>
      </w:pPr>
      <w:r>
        <w:rPr>
          <w:rFonts w:hint="eastAsia"/>
          <w:sz w:val="44"/>
          <w:szCs w:val="44"/>
        </w:rPr>
        <w:t>目 录</w:t>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\h \z \t "一级标题,1,二级标题,2"</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"_Toc18723" </w:instrText>
      </w:r>
      <w:r>
        <w:rPr>
          <w:rFonts w:hint="eastAsia" w:ascii="仿宋" w:hAnsi="仿宋" w:eastAsia="仿宋" w:cs="仿宋"/>
          <w:sz w:val="32"/>
          <w:szCs w:val="32"/>
        </w:rPr>
        <w:fldChar w:fldCharType="separate"/>
      </w:r>
      <w:r>
        <w:rPr>
          <w:rFonts w:hint="eastAsia" w:ascii="仿宋" w:hAnsi="仿宋" w:eastAsia="仿宋" w:cs="仿宋"/>
          <w:sz w:val="32"/>
          <w:szCs w:val="32"/>
        </w:rPr>
        <w:t>一、发展基础</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_Toc18723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"_Toc11349" </w:instrText>
      </w:r>
      <w:r>
        <w:rPr>
          <w:rFonts w:hint="eastAsia" w:ascii="仿宋" w:hAnsi="仿宋" w:eastAsia="仿宋" w:cs="仿宋"/>
          <w:sz w:val="32"/>
          <w:szCs w:val="32"/>
        </w:rPr>
        <w:fldChar w:fldCharType="separate"/>
      </w:r>
      <w:r>
        <w:rPr>
          <w:rFonts w:hint="eastAsia" w:ascii="仿宋" w:hAnsi="仿宋" w:eastAsia="仿宋" w:cs="仿宋"/>
          <w:sz w:val="32"/>
          <w:szCs w:val="32"/>
        </w:rPr>
        <w:t>（一）居民消费实现稳定增长</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_Toc11349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"_Toc26024" </w:instrText>
      </w:r>
      <w:r>
        <w:rPr>
          <w:rFonts w:hint="eastAsia" w:ascii="仿宋" w:hAnsi="仿宋" w:eastAsia="仿宋" w:cs="仿宋"/>
          <w:sz w:val="32"/>
          <w:szCs w:val="32"/>
        </w:rPr>
        <w:fldChar w:fldCharType="separate"/>
      </w:r>
      <w:r>
        <w:rPr>
          <w:rFonts w:hint="eastAsia" w:ascii="仿宋" w:hAnsi="仿宋" w:eastAsia="仿宋" w:cs="仿宋"/>
          <w:sz w:val="32"/>
          <w:szCs w:val="32"/>
        </w:rPr>
        <w:t>（二）电子商务实现快速发展</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_Toc26024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"_Toc28585" </w:instrText>
      </w:r>
      <w:r>
        <w:rPr>
          <w:rFonts w:hint="eastAsia" w:ascii="仿宋" w:hAnsi="仿宋" w:eastAsia="仿宋" w:cs="仿宋"/>
          <w:sz w:val="32"/>
          <w:szCs w:val="32"/>
        </w:rPr>
        <w:fldChar w:fldCharType="separate"/>
      </w:r>
      <w:r>
        <w:rPr>
          <w:rFonts w:hint="eastAsia" w:ascii="仿宋" w:hAnsi="仿宋" w:eastAsia="仿宋" w:cs="仿宋"/>
          <w:sz w:val="32"/>
          <w:szCs w:val="32"/>
        </w:rPr>
        <w:t>（三）对外贸易保持稳中向好</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_Toc28585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"_Toc21420" </w:instrText>
      </w:r>
      <w:r>
        <w:rPr>
          <w:rFonts w:hint="eastAsia" w:ascii="仿宋" w:hAnsi="仿宋" w:eastAsia="仿宋" w:cs="仿宋"/>
          <w:sz w:val="32"/>
          <w:szCs w:val="32"/>
        </w:rPr>
        <w:fldChar w:fldCharType="separate"/>
      </w:r>
      <w:r>
        <w:rPr>
          <w:rFonts w:hint="eastAsia" w:ascii="仿宋" w:hAnsi="仿宋" w:eastAsia="仿宋" w:cs="仿宋"/>
          <w:sz w:val="32"/>
          <w:szCs w:val="32"/>
        </w:rPr>
        <w:t>（四）双向投资保持稳中有进</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_Toc21420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"_Toc30141" </w:instrText>
      </w:r>
      <w:r>
        <w:rPr>
          <w:rFonts w:hint="eastAsia" w:ascii="仿宋" w:hAnsi="仿宋" w:eastAsia="仿宋" w:cs="仿宋"/>
          <w:sz w:val="32"/>
          <w:szCs w:val="32"/>
        </w:rPr>
        <w:fldChar w:fldCharType="separate"/>
      </w:r>
      <w:r>
        <w:rPr>
          <w:rFonts w:hint="eastAsia" w:ascii="仿宋" w:hAnsi="仿宋" w:eastAsia="仿宋" w:cs="仿宋"/>
          <w:sz w:val="32"/>
          <w:szCs w:val="32"/>
        </w:rPr>
        <w:t>（五）品牌培育力度持续加强</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_Toc30141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"_Toc26797" </w:instrText>
      </w:r>
      <w:r>
        <w:rPr>
          <w:rFonts w:hint="eastAsia" w:ascii="仿宋" w:hAnsi="仿宋" w:eastAsia="仿宋" w:cs="仿宋"/>
          <w:sz w:val="32"/>
          <w:szCs w:val="32"/>
        </w:rPr>
        <w:fldChar w:fldCharType="separate"/>
      </w:r>
      <w:r>
        <w:rPr>
          <w:rFonts w:hint="eastAsia" w:ascii="仿宋" w:hAnsi="仿宋" w:eastAsia="仿宋" w:cs="仿宋"/>
          <w:sz w:val="32"/>
          <w:szCs w:val="32"/>
        </w:rPr>
        <w:t>（六）商贸投资项目持续增加</w:t>
      </w:r>
      <w:r>
        <w:rPr>
          <w:rFonts w:hint="eastAsia" w:ascii="仿宋" w:hAnsi="仿宋" w:eastAsia="仿宋" w:cs="仿宋"/>
          <w:sz w:val="32"/>
          <w:szCs w:val="32"/>
        </w:rPr>
        <w:tab/>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_Toc26797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"_Toc31272" </w:instrText>
      </w:r>
      <w:r>
        <w:rPr>
          <w:rFonts w:hint="eastAsia" w:ascii="仿宋" w:hAnsi="仿宋" w:eastAsia="仿宋" w:cs="仿宋"/>
          <w:sz w:val="32"/>
          <w:szCs w:val="32"/>
        </w:rPr>
        <w:fldChar w:fldCharType="separate"/>
      </w:r>
      <w:r>
        <w:rPr>
          <w:rFonts w:hint="eastAsia" w:ascii="仿宋" w:hAnsi="仿宋" w:eastAsia="仿宋" w:cs="仿宋"/>
          <w:sz w:val="32"/>
          <w:szCs w:val="32"/>
        </w:rPr>
        <w:t>（七）商务</w:t>
      </w:r>
      <w:r>
        <w:rPr>
          <w:rFonts w:hint="eastAsia" w:ascii="仿宋" w:hAnsi="仿宋" w:eastAsia="仿宋" w:cs="仿宋"/>
          <w:sz w:val="32"/>
          <w:szCs w:val="32"/>
          <w:lang w:eastAsia="zh-CN"/>
        </w:rPr>
        <w:t>领域改革取得积极成效…………………………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_Toc31272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"_Toc26052" </w:instrText>
      </w:r>
      <w:r>
        <w:rPr>
          <w:rFonts w:hint="eastAsia" w:ascii="仿宋" w:hAnsi="仿宋" w:eastAsia="仿宋" w:cs="仿宋"/>
          <w:sz w:val="32"/>
          <w:szCs w:val="32"/>
        </w:rPr>
        <w:fldChar w:fldCharType="separate"/>
      </w:r>
      <w:r>
        <w:rPr>
          <w:rFonts w:hint="eastAsia" w:ascii="仿宋" w:hAnsi="仿宋" w:eastAsia="仿宋" w:cs="仿宋"/>
          <w:sz w:val="32"/>
          <w:szCs w:val="32"/>
        </w:rPr>
        <w:t>二、发展环境</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_Toc26052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"_Toc26100" </w:instrText>
      </w:r>
      <w:r>
        <w:rPr>
          <w:rFonts w:hint="eastAsia" w:ascii="仿宋" w:hAnsi="仿宋" w:eastAsia="仿宋" w:cs="仿宋"/>
          <w:sz w:val="32"/>
          <w:szCs w:val="32"/>
        </w:rPr>
        <w:fldChar w:fldCharType="separate"/>
      </w:r>
      <w:r>
        <w:rPr>
          <w:rFonts w:hint="eastAsia" w:ascii="仿宋" w:hAnsi="仿宋" w:eastAsia="仿宋" w:cs="仿宋"/>
          <w:sz w:val="32"/>
          <w:szCs w:val="32"/>
        </w:rPr>
        <w:t>（一）国际国内形势</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_Toc26100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"_Toc29389" </w:instrText>
      </w:r>
      <w:r>
        <w:rPr>
          <w:rFonts w:hint="eastAsia" w:ascii="仿宋" w:hAnsi="仿宋" w:eastAsia="仿宋" w:cs="仿宋"/>
          <w:sz w:val="32"/>
          <w:szCs w:val="32"/>
        </w:rPr>
        <w:fldChar w:fldCharType="separate"/>
      </w:r>
      <w:r>
        <w:rPr>
          <w:rFonts w:hint="eastAsia" w:ascii="仿宋" w:hAnsi="仿宋" w:eastAsia="仿宋" w:cs="仿宋"/>
          <w:sz w:val="32"/>
          <w:szCs w:val="32"/>
        </w:rPr>
        <w:t>（二）省内形势</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_Toc29389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"_Toc24763" </w:instrText>
      </w:r>
      <w:r>
        <w:rPr>
          <w:rFonts w:hint="eastAsia" w:ascii="仿宋" w:hAnsi="仿宋" w:eastAsia="仿宋" w:cs="仿宋"/>
          <w:sz w:val="32"/>
          <w:szCs w:val="32"/>
        </w:rPr>
        <w:fldChar w:fldCharType="separate"/>
      </w:r>
      <w:r>
        <w:rPr>
          <w:rFonts w:hint="eastAsia" w:ascii="仿宋" w:hAnsi="仿宋" w:eastAsia="仿宋" w:cs="仿宋"/>
          <w:sz w:val="32"/>
          <w:szCs w:val="32"/>
        </w:rPr>
        <w:t>（三）市域环境</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_Toc24763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"_Toc25458" </w:instrText>
      </w:r>
      <w:r>
        <w:rPr>
          <w:rFonts w:hint="eastAsia" w:ascii="仿宋" w:hAnsi="仿宋" w:eastAsia="仿宋" w:cs="仿宋"/>
          <w:sz w:val="32"/>
          <w:szCs w:val="32"/>
        </w:rPr>
        <w:fldChar w:fldCharType="separate"/>
      </w:r>
      <w:r>
        <w:rPr>
          <w:rFonts w:hint="eastAsia" w:ascii="仿宋" w:hAnsi="仿宋" w:eastAsia="仿宋" w:cs="仿宋"/>
          <w:sz w:val="32"/>
          <w:szCs w:val="32"/>
        </w:rPr>
        <w:t>三、总体思路</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_Toc25458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"_Toc6134" </w:instrText>
      </w:r>
      <w:r>
        <w:rPr>
          <w:rFonts w:hint="eastAsia" w:ascii="仿宋" w:hAnsi="仿宋" w:eastAsia="仿宋" w:cs="仿宋"/>
          <w:sz w:val="32"/>
          <w:szCs w:val="32"/>
        </w:rPr>
        <w:fldChar w:fldCharType="separate"/>
      </w:r>
      <w:r>
        <w:rPr>
          <w:rFonts w:hint="eastAsia" w:ascii="仿宋" w:hAnsi="仿宋" w:eastAsia="仿宋" w:cs="仿宋"/>
          <w:sz w:val="32"/>
          <w:szCs w:val="32"/>
        </w:rPr>
        <w:t>（一）指导思想</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_Toc6134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"_Toc7650" </w:instrText>
      </w:r>
      <w:r>
        <w:rPr>
          <w:rFonts w:hint="eastAsia" w:ascii="仿宋" w:hAnsi="仿宋" w:eastAsia="仿宋" w:cs="仿宋"/>
          <w:sz w:val="32"/>
          <w:szCs w:val="32"/>
        </w:rPr>
        <w:fldChar w:fldCharType="separate"/>
      </w:r>
      <w:r>
        <w:rPr>
          <w:rFonts w:hint="eastAsia" w:ascii="仿宋" w:hAnsi="仿宋" w:eastAsia="仿宋" w:cs="仿宋"/>
          <w:sz w:val="32"/>
          <w:szCs w:val="32"/>
        </w:rPr>
        <w:t>（二）基本原则</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_Toc7650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"_Toc21858" </w:instrText>
      </w:r>
      <w:r>
        <w:rPr>
          <w:rFonts w:hint="eastAsia" w:ascii="仿宋" w:hAnsi="仿宋" w:eastAsia="仿宋" w:cs="仿宋"/>
          <w:sz w:val="32"/>
          <w:szCs w:val="32"/>
        </w:rPr>
        <w:fldChar w:fldCharType="separate"/>
      </w:r>
      <w:r>
        <w:rPr>
          <w:rFonts w:hint="eastAsia" w:ascii="仿宋" w:hAnsi="仿宋" w:eastAsia="仿宋" w:cs="仿宋"/>
          <w:sz w:val="32"/>
          <w:szCs w:val="32"/>
        </w:rPr>
        <w:t>（三）目标</w:t>
      </w:r>
      <w:r>
        <w:rPr>
          <w:rFonts w:hint="eastAsia" w:ascii="仿宋" w:hAnsi="仿宋" w:eastAsia="仿宋" w:cs="仿宋"/>
          <w:sz w:val="32"/>
          <w:szCs w:val="32"/>
          <w:lang w:eastAsia="zh-CN"/>
        </w:rPr>
        <w:t>任务………………………………………………</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_Toc21858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"_Toc30725" </w:instrText>
      </w:r>
      <w:r>
        <w:rPr>
          <w:rFonts w:hint="eastAsia" w:ascii="仿宋" w:hAnsi="仿宋" w:eastAsia="仿宋" w:cs="仿宋"/>
          <w:sz w:val="32"/>
          <w:szCs w:val="32"/>
        </w:rPr>
        <w:fldChar w:fldCharType="separate"/>
      </w:r>
      <w:r>
        <w:rPr>
          <w:rFonts w:hint="eastAsia" w:ascii="仿宋" w:hAnsi="仿宋" w:eastAsia="仿宋" w:cs="仿宋"/>
          <w:sz w:val="32"/>
          <w:szCs w:val="32"/>
        </w:rPr>
        <w:t>四、主要任务</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_Toc30725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"_Toc1509" </w:instrText>
      </w:r>
      <w:r>
        <w:rPr>
          <w:rFonts w:hint="eastAsia" w:ascii="仿宋" w:hAnsi="仿宋" w:eastAsia="仿宋" w:cs="仿宋"/>
          <w:sz w:val="32"/>
          <w:szCs w:val="32"/>
        </w:rPr>
        <w:fldChar w:fldCharType="separate"/>
      </w:r>
      <w:r>
        <w:rPr>
          <w:rFonts w:hint="eastAsia" w:ascii="仿宋" w:hAnsi="仿宋" w:eastAsia="仿宋" w:cs="仿宋"/>
          <w:sz w:val="32"/>
          <w:szCs w:val="32"/>
        </w:rPr>
        <w:t>（一）完善商贸体系建设，打造浙闽赣边际商贸中心</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_Toc1509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"_Toc18268" </w:instrText>
      </w:r>
      <w:r>
        <w:rPr>
          <w:rFonts w:hint="eastAsia" w:ascii="仿宋" w:hAnsi="仿宋" w:eastAsia="仿宋" w:cs="仿宋"/>
          <w:sz w:val="32"/>
          <w:szCs w:val="32"/>
        </w:rPr>
        <w:fldChar w:fldCharType="separate"/>
      </w:r>
      <w:r>
        <w:rPr>
          <w:rFonts w:hint="eastAsia" w:ascii="仿宋" w:hAnsi="仿宋" w:eastAsia="仿宋" w:cs="仿宋"/>
          <w:sz w:val="32"/>
          <w:szCs w:val="32"/>
        </w:rPr>
        <w:t>（二）推进电子商务发展，激发商贸发展新活力</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_Toc18268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"_Toc7267" </w:instrText>
      </w:r>
      <w:r>
        <w:rPr>
          <w:rFonts w:hint="eastAsia" w:ascii="仿宋" w:hAnsi="仿宋" w:eastAsia="仿宋" w:cs="仿宋"/>
          <w:sz w:val="32"/>
          <w:szCs w:val="32"/>
        </w:rPr>
        <w:fldChar w:fldCharType="separate"/>
      </w:r>
      <w:r>
        <w:rPr>
          <w:rFonts w:hint="eastAsia" w:ascii="仿宋" w:hAnsi="仿宋" w:eastAsia="仿宋" w:cs="仿宋"/>
          <w:sz w:val="32"/>
          <w:szCs w:val="32"/>
        </w:rPr>
        <w:t>（三）优化国际贸易体系，推动外贸高质量发展</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_Toc7267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"_Toc251" </w:instrText>
      </w:r>
      <w:r>
        <w:rPr>
          <w:rFonts w:hint="eastAsia" w:ascii="仿宋" w:hAnsi="仿宋" w:eastAsia="仿宋" w:cs="仿宋"/>
          <w:sz w:val="32"/>
          <w:szCs w:val="32"/>
        </w:rPr>
        <w:fldChar w:fldCharType="separate"/>
      </w:r>
      <w:r>
        <w:rPr>
          <w:rFonts w:hint="eastAsia" w:ascii="仿宋" w:hAnsi="仿宋" w:eastAsia="仿宋" w:cs="仿宋"/>
          <w:sz w:val="32"/>
          <w:szCs w:val="32"/>
        </w:rPr>
        <w:t>（四）提高双向投资效能，促进高层次国际合作</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_Toc251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color w:val="000000"/>
          <w:sz w:val="32"/>
          <w:szCs w:val="32"/>
        </w:rPr>
        <w:sectPr>
          <w:footerReference r:id="rId8" w:type="default"/>
          <w:pgSz w:w="11906" w:h="16838"/>
          <w:pgMar w:top="1440" w:right="1800" w:bottom="1440" w:left="1800" w:header="851" w:footer="992" w:gutter="0"/>
          <w:pgNumType w:start="1"/>
          <w:cols w:space="425" w:num="1"/>
          <w:docGrid w:type="lines" w:linePitch="312" w:charSpace="0"/>
        </w:sectPr>
      </w:pP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"_Toc22618" </w:instrText>
      </w:r>
      <w:r>
        <w:rPr>
          <w:rFonts w:hint="eastAsia" w:ascii="仿宋" w:hAnsi="仿宋" w:eastAsia="仿宋" w:cs="仿宋"/>
          <w:sz w:val="32"/>
          <w:szCs w:val="32"/>
        </w:rPr>
        <w:fldChar w:fldCharType="separate"/>
      </w:r>
      <w:r>
        <w:rPr>
          <w:rFonts w:hint="eastAsia" w:ascii="仿宋" w:hAnsi="仿宋" w:eastAsia="仿宋" w:cs="仿宋"/>
          <w:sz w:val="32"/>
          <w:szCs w:val="32"/>
        </w:rPr>
        <w:t>（五）提升开放平台能级，构建对外开放新高地</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_Toc22618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"_Toc29246" </w:instrText>
      </w:r>
      <w:r>
        <w:rPr>
          <w:rFonts w:hint="eastAsia" w:ascii="仿宋" w:hAnsi="仿宋" w:eastAsia="仿宋" w:cs="仿宋"/>
          <w:sz w:val="32"/>
          <w:szCs w:val="32"/>
        </w:rPr>
        <w:fldChar w:fldCharType="separate"/>
      </w:r>
      <w:r>
        <w:rPr>
          <w:rFonts w:hint="eastAsia" w:ascii="仿宋" w:hAnsi="仿宋" w:eastAsia="仿宋" w:cs="仿宋"/>
          <w:sz w:val="32"/>
          <w:szCs w:val="32"/>
        </w:rPr>
        <w:t>（六）坚持系统发展观念，构建商务服务新体系</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_Toc29246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"_Toc30271" </w:instrText>
      </w:r>
      <w:r>
        <w:rPr>
          <w:rFonts w:hint="eastAsia" w:ascii="仿宋" w:hAnsi="仿宋" w:eastAsia="仿宋" w:cs="仿宋"/>
          <w:sz w:val="32"/>
          <w:szCs w:val="32"/>
        </w:rPr>
        <w:fldChar w:fldCharType="separate"/>
      </w:r>
      <w:r>
        <w:rPr>
          <w:rFonts w:hint="eastAsia" w:ascii="仿宋" w:hAnsi="仿宋" w:eastAsia="仿宋" w:cs="仿宋"/>
          <w:sz w:val="32"/>
          <w:szCs w:val="32"/>
        </w:rPr>
        <w:t>五、保障措施</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_Toc30271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"_Toc8225" </w:instrText>
      </w:r>
      <w:r>
        <w:rPr>
          <w:rFonts w:hint="eastAsia" w:ascii="仿宋" w:hAnsi="仿宋" w:eastAsia="仿宋" w:cs="仿宋"/>
          <w:sz w:val="32"/>
          <w:szCs w:val="32"/>
        </w:rPr>
        <w:fldChar w:fldCharType="separate"/>
      </w:r>
      <w:r>
        <w:rPr>
          <w:rFonts w:hint="eastAsia" w:ascii="仿宋" w:hAnsi="仿宋" w:eastAsia="仿宋" w:cs="仿宋"/>
          <w:sz w:val="32"/>
          <w:szCs w:val="32"/>
        </w:rPr>
        <w:t>（一）强化组织保障</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_Toc8225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"_Toc16377" </w:instrText>
      </w:r>
      <w:r>
        <w:rPr>
          <w:rFonts w:hint="eastAsia" w:ascii="仿宋" w:hAnsi="仿宋" w:eastAsia="仿宋" w:cs="仿宋"/>
          <w:sz w:val="32"/>
          <w:szCs w:val="32"/>
        </w:rPr>
        <w:fldChar w:fldCharType="separate"/>
      </w:r>
      <w:r>
        <w:rPr>
          <w:rFonts w:hint="eastAsia" w:ascii="仿宋" w:hAnsi="仿宋" w:eastAsia="仿宋" w:cs="仿宋"/>
          <w:sz w:val="32"/>
          <w:szCs w:val="32"/>
        </w:rPr>
        <w:t>（二）强化政策保障</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_Toc16377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"_Toc2665" </w:instrText>
      </w:r>
      <w:r>
        <w:rPr>
          <w:rFonts w:hint="eastAsia" w:ascii="仿宋" w:hAnsi="仿宋" w:eastAsia="仿宋" w:cs="仿宋"/>
          <w:sz w:val="32"/>
          <w:szCs w:val="32"/>
        </w:rPr>
        <w:fldChar w:fldCharType="separate"/>
      </w:r>
      <w:r>
        <w:rPr>
          <w:rFonts w:hint="eastAsia" w:ascii="仿宋" w:hAnsi="仿宋" w:eastAsia="仿宋" w:cs="仿宋"/>
          <w:sz w:val="32"/>
          <w:szCs w:val="32"/>
        </w:rPr>
        <w:t>（三）强化人才保障</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_Toc2665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"_Toc26084" </w:instrText>
      </w:r>
      <w:r>
        <w:rPr>
          <w:rFonts w:hint="eastAsia" w:ascii="仿宋" w:hAnsi="仿宋" w:eastAsia="仿宋" w:cs="仿宋"/>
          <w:sz w:val="32"/>
          <w:szCs w:val="32"/>
        </w:rPr>
        <w:fldChar w:fldCharType="separate"/>
      </w:r>
      <w:r>
        <w:rPr>
          <w:rFonts w:hint="eastAsia" w:ascii="仿宋" w:hAnsi="仿宋" w:eastAsia="仿宋" w:cs="仿宋"/>
          <w:sz w:val="32"/>
          <w:szCs w:val="32"/>
        </w:rPr>
        <w:t>附件一：龙泉市商务经济高质量发展“十四五”规划建设项目</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_Toc26084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3"/>
        <w:tabs>
          <w:tab w:val="clear" w:pos="8296"/>
        </w:tabs>
        <w:jc w:val="distribut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"_Toc14588" </w:instrText>
      </w:r>
      <w:r>
        <w:rPr>
          <w:rFonts w:hint="eastAsia" w:ascii="仿宋" w:hAnsi="仿宋" w:eastAsia="仿宋" w:cs="仿宋"/>
          <w:sz w:val="32"/>
          <w:szCs w:val="32"/>
        </w:rPr>
        <w:fldChar w:fldCharType="separate"/>
      </w:r>
      <w:r>
        <w:rPr>
          <w:rFonts w:hint="eastAsia" w:ascii="仿宋" w:hAnsi="仿宋" w:eastAsia="仿宋" w:cs="仿宋"/>
          <w:sz w:val="32"/>
          <w:szCs w:val="32"/>
        </w:rPr>
        <w:t>附件二：龙泉市商务经济高质量发展“十四五”规划外贸企业培育表</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_Toc14588 \h </w:instrText>
      </w:r>
      <w:r>
        <w:rPr>
          <w:rFonts w:hint="eastAsia" w:ascii="仿宋" w:hAnsi="仿宋" w:eastAsia="仿宋" w:cs="仿宋"/>
          <w:sz w:val="32"/>
          <w:szCs w:val="32"/>
        </w:rPr>
        <w:fldChar w:fldCharType="separate"/>
      </w:r>
      <w:r>
        <w:rPr>
          <w:rFonts w:hint="eastAsia" w:ascii="仿宋" w:hAnsi="仿宋" w:eastAsia="仿宋" w:cs="仿宋"/>
          <w:sz w:val="32"/>
          <w:szCs w:val="32"/>
        </w:rPr>
        <w:t>25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ind w:firstLine="480"/>
        <w:jc w:val="distribute"/>
        <w:rPr>
          <w:rFonts w:ascii="仿宋" w:hAnsi="仿宋" w:eastAsia="仿宋" w:cs="仿宋_GB2312"/>
          <w:color w:val="000000"/>
          <w:szCs w:val="48"/>
        </w:rPr>
      </w:pPr>
      <w:r>
        <w:rPr>
          <w:rFonts w:hint="eastAsia" w:ascii="仿宋" w:hAnsi="仿宋" w:eastAsia="仿宋" w:cs="仿宋"/>
          <w:color w:val="000000"/>
          <w:sz w:val="32"/>
          <w:szCs w:val="32"/>
        </w:rPr>
        <w:fldChar w:fldCharType="end"/>
      </w: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pPr>
    </w:p>
    <w:p>
      <w:pPr>
        <w:spacing w:line="360" w:lineRule="auto"/>
        <w:ind w:firstLine="640"/>
        <w:rPr>
          <w:rFonts w:ascii="仿宋" w:hAnsi="仿宋" w:eastAsia="仿宋" w:cs="仿宋_GB2312"/>
          <w:color w:val="000000"/>
          <w:sz w:val="32"/>
          <w:szCs w:val="32"/>
        </w:rPr>
        <w:sectPr>
          <w:footerReference r:id="rId9" w:type="default"/>
          <w:pgSz w:w="11906" w:h="16838"/>
          <w:pgMar w:top="1440" w:right="1800" w:bottom="1440" w:left="1800" w:header="851" w:footer="992" w:gutter="0"/>
          <w:pgNumType w:start="1"/>
          <w:cols w:space="425" w:num="1"/>
          <w:docGrid w:type="lines" w:linePitch="312" w:charSpace="0"/>
        </w:sectPr>
      </w:pPr>
    </w:p>
    <w:p>
      <w:pPr>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十四五”时期是我国由全面建成小康社会向基本实现社会主义现代化迈进的关键时期，是基本实现现代化开好局、起好步的关键五年，也是全市探索实现共同富裕新路径，加快实现“龙泉复兴”，积极融入以国内大循环为主体、国内国际双循环相互促进的新发展格局，成为展示“高水平建设和高质量发展重要窗口”模范生的关键机遇期。根据《浙江省商务高质量发展“十四五”规划》</w:t>
      </w:r>
      <w:bookmarkStart w:id="0" w:name="_Toc2273"/>
      <w:bookmarkStart w:id="1" w:name="_Toc21183"/>
      <w:bookmarkStart w:id="2" w:name="_Toc13193"/>
      <w:bookmarkStart w:id="3" w:name="_Toc27289"/>
      <w:bookmarkStart w:id="4" w:name="_Toc23959"/>
      <w:r>
        <w:rPr>
          <w:rFonts w:hint="eastAsia" w:ascii="仿宋" w:hAnsi="仿宋" w:eastAsia="仿宋" w:cs="仿宋_GB2312"/>
          <w:color w:val="000000"/>
          <w:sz w:val="32"/>
          <w:szCs w:val="32"/>
        </w:rPr>
        <w:t>《丽水市商务经济发展“十四五”规划</w:t>
      </w:r>
      <w:bookmarkEnd w:id="0"/>
      <w:bookmarkEnd w:id="1"/>
      <w:bookmarkEnd w:id="2"/>
      <w:bookmarkEnd w:id="3"/>
      <w:bookmarkEnd w:id="4"/>
      <w:r>
        <w:rPr>
          <w:rFonts w:hint="eastAsia" w:ascii="仿宋" w:hAnsi="仿宋" w:eastAsia="仿宋" w:cs="仿宋_GB2312"/>
          <w:color w:val="000000"/>
          <w:sz w:val="32"/>
          <w:szCs w:val="32"/>
        </w:rPr>
        <w:t>》《龙泉市国民经济和社会发展第十四个五年规划和二〇三五年远景目标纲要》精神，为更好推进“十四五”期间龙泉市商务经济高质量发展，特编制本规划。规划期限2021年至2025年。</w:t>
      </w:r>
    </w:p>
    <w:p>
      <w:pPr>
        <w:pStyle w:val="52"/>
        <w:spacing w:line="520" w:lineRule="exact"/>
      </w:pPr>
      <w:bookmarkStart w:id="5" w:name="_Toc90754291"/>
      <w:bookmarkStart w:id="6" w:name="_Toc18723"/>
      <w:r>
        <w:rPr>
          <w:rFonts w:hint="eastAsia"/>
        </w:rPr>
        <w:t>一、发展基础</w:t>
      </w:r>
      <w:bookmarkEnd w:id="5"/>
      <w:bookmarkEnd w:id="6"/>
    </w:p>
    <w:p>
      <w:pPr>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“十三五”期间，龙泉市商务工作在市委、市政府的正确领导下，在上级商务部门的大力支持下，忠实践行“八八战略”，全面厉行“丽水之干”，用好</w:t>
      </w:r>
      <w:r>
        <w:rPr>
          <w:rFonts w:ascii="仿宋" w:hAnsi="仿宋" w:eastAsia="仿宋" w:cs="仿宋_GB2312"/>
          <w:color w:val="000000"/>
          <w:sz w:val="32"/>
          <w:szCs w:val="32"/>
        </w:rPr>
        <w:t>国际国内两个市场、两种资源</w:t>
      </w:r>
      <w:r>
        <w:rPr>
          <w:rFonts w:hint="eastAsia" w:ascii="仿宋" w:hAnsi="仿宋" w:eastAsia="仿宋" w:cs="仿宋_GB2312"/>
          <w:color w:val="000000"/>
          <w:sz w:val="32"/>
          <w:szCs w:val="32"/>
        </w:rPr>
        <w:t>，全面优化营商环境，统筹推进全市商务工作更好更快发展，基本实现各项目标任务。</w:t>
      </w:r>
    </w:p>
    <w:p>
      <w:pPr>
        <w:numPr>
          <w:ilvl w:val="0"/>
          <w:numId w:val="0"/>
        </w:numPr>
        <w:spacing w:line="520" w:lineRule="exact"/>
        <w:ind w:firstLine="643" w:firstLineChars="200"/>
        <w:rPr>
          <w:rFonts w:ascii="仿宋" w:hAnsi="仿宋" w:eastAsia="仿宋" w:cs="仿宋_GB2312"/>
          <w:color w:val="000000"/>
          <w:sz w:val="32"/>
          <w:szCs w:val="32"/>
        </w:rPr>
      </w:pPr>
      <w:bookmarkStart w:id="7" w:name="_Toc11349"/>
      <w:r>
        <w:rPr>
          <w:rStyle w:val="55"/>
          <w:rFonts w:hint="eastAsia" w:eastAsia="楷体"/>
          <w:lang w:eastAsia="zh-CN"/>
        </w:rPr>
        <w:t>（一）</w:t>
      </w:r>
      <w:r>
        <w:rPr>
          <w:rStyle w:val="55"/>
          <w:rFonts w:hint="eastAsia"/>
        </w:rPr>
        <w:t>居民消费实现稳定增长</w:t>
      </w:r>
      <w:bookmarkEnd w:id="7"/>
      <w:r>
        <w:rPr>
          <w:rFonts w:hint="eastAsia" w:ascii="仿宋" w:hAnsi="仿宋" w:eastAsia="仿宋" w:cs="仿宋"/>
          <w:b/>
          <w:bCs/>
          <w:sz w:val="32"/>
          <w:szCs w:val="32"/>
        </w:rPr>
        <w:t>。</w:t>
      </w:r>
      <w:r>
        <w:rPr>
          <w:rFonts w:hint="eastAsia" w:ascii="仿宋" w:hAnsi="仿宋" w:eastAsia="仿宋" w:cs="仿宋_GB2312"/>
          <w:color w:val="000000"/>
          <w:sz w:val="32"/>
          <w:szCs w:val="32"/>
        </w:rPr>
        <w:t>2020年，全市实现社会消费品零售总额72.03亿元，同比增长8.1%，增速在丽水市排名第三，分别超浙江省、丽水市10.7、8.5个百分点，“十三五”期间年均增长10.3%；实现限上社会消费品零售总额8.46亿元，同比增长8.4%，分别超浙江省、丽水市17.4、9.2个百分点。现有限上企业74家，较2015年底增长124%。全市新建、改（迁）建加油站8家，现有成品油经营企业28家，2020年完成成品油销售4.7万吨，其中汽油3.6万吨，柴油1.1万吨，较2015年增长9.35%。</w:t>
      </w:r>
    </w:p>
    <w:p>
      <w:pPr>
        <w:pStyle w:val="51"/>
        <w:spacing w:line="520" w:lineRule="exact"/>
        <w:ind w:firstLine="0" w:firstLineChars="0"/>
        <w:jc w:val="center"/>
        <w:rPr>
          <w:rFonts w:ascii="仿宋" w:hAnsi="仿宋" w:eastAsia="仿宋" w:cs="仿宋"/>
        </w:rPr>
        <w:sectPr>
          <w:footerReference r:id="rId10" w:type="default"/>
          <w:pgSz w:w="11906" w:h="16838"/>
          <w:pgMar w:top="1440" w:right="1800" w:bottom="1440" w:left="1800" w:header="851" w:footer="992" w:gutter="0"/>
          <w:pgNumType w:start="1"/>
          <w:cols w:space="425" w:num="1"/>
          <w:docGrid w:type="lines" w:linePitch="312" w:charSpace="0"/>
        </w:sectPr>
      </w:pPr>
    </w:p>
    <w:tbl>
      <w:tblPr>
        <w:tblStyle w:val="21"/>
        <w:tblW w:w="7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3629"/>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年度</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社会消费品零售总额（亿元）</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2016</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52.44</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2017</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60.04</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2018</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61.13</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2019</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67.57</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4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2020</w:t>
            </w:r>
          </w:p>
        </w:tc>
        <w:tc>
          <w:tcPr>
            <w:tcW w:w="36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72.03</w:t>
            </w:r>
          </w:p>
        </w:tc>
        <w:tc>
          <w:tcPr>
            <w:tcW w:w="264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8.1</w:t>
            </w:r>
          </w:p>
        </w:tc>
      </w:tr>
    </w:tbl>
    <w:p>
      <w:pPr>
        <w:pStyle w:val="51"/>
        <w:spacing w:line="520" w:lineRule="exact"/>
        <w:ind w:firstLine="0" w:firstLineChars="0"/>
        <w:jc w:val="center"/>
        <w:rPr>
          <w:rFonts w:ascii="仿宋" w:hAnsi="仿宋" w:eastAsia="仿宋" w:cs="仿宋"/>
        </w:rPr>
      </w:pPr>
      <w:r>
        <w:rPr>
          <w:rFonts w:hint="eastAsia" w:ascii="仿宋" w:hAnsi="仿宋" w:eastAsia="仿宋" w:cs="仿宋"/>
        </w:rPr>
        <w:t>表1:2016-2020年龙泉市社会消费品零售总额情况</w:t>
      </w:r>
    </w:p>
    <w:p>
      <w:pPr>
        <w:spacing w:line="520" w:lineRule="exact"/>
        <w:ind w:firstLine="643"/>
        <w:rPr>
          <w:rFonts w:ascii="仿宋" w:hAnsi="仿宋" w:eastAsia="仿宋" w:cs="仿宋_GB2312"/>
          <w:color w:val="000000"/>
          <w:sz w:val="32"/>
          <w:szCs w:val="32"/>
        </w:rPr>
      </w:pPr>
      <w:bookmarkStart w:id="8" w:name="_Toc26024"/>
      <w:r>
        <w:rPr>
          <w:rStyle w:val="55"/>
          <w:rFonts w:hint="eastAsia"/>
        </w:rPr>
        <w:t>（二）电子商务实现快速发展</w:t>
      </w:r>
      <w:bookmarkEnd w:id="8"/>
      <w:r>
        <w:rPr>
          <w:rFonts w:hint="eastAsia" w:ascii="仿宋" w:hAnsi="仿宋" w:eastAsia="仿宋" w:cs="仿宋"/>
          <w:b/>
          <w:bCs/>
          <w:sz w:val="32"/>
          <w:szCs w:val="32"/>
        </w:rPr>
        <w:t>。</w:t>
      </w:r>
      <w:r>
        <w:rPr>
          <w:rFonts w:hint="eastAsia" w:ascii="仿宋" w:hAnsi="仿宋" w:eastAsia="仿宋" w:cs="仿宋_GB2312"/>
          <w:color w:val="000000"/>
          <w:sz w:val="32"/>
          <w:szCs w:val="32"/>
        </w:rPr>
        <w:t>2020年，全市实现网络零售额40.3亿元，同比增长27.2%，“十三五”期间年均增长25.5%。农村电商快速发展，现有1个电商专业镇，3个电子商务亿元村，5个电商专业村，4个电商专业示范村；竹木、汽配、剑瓷和农产品各行业电商发展百花齐放，目前建成“龙泉青瓷宝剑商城”、“龙泉供销E城”等专业电商平台，并被列为全省重点电商平台。跨境电商实现新突破，年均跨境邮件超</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0000件，2020年实现跨境电商“9710”模式零的突破。</w:t>
      </w:r>
    </w:p>
    <w:tbl>
      <w:tblPr>
        <w:tblStyle w:val="21"/>
        <w:tblW w:w="8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3500"/>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blHeader/>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年度</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网络零售额（亿元）</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2016</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19.77</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2017</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26.82</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2018</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35.62</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2019</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34.06</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66"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2020</w:t>
            </w:r>
          </w:p>
        </w:tc>
        <w:tc>
          <w:tcPr>
            <w:tcW w:w="3500"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40.25</w:t>
            </w:r>
          </w:p>
        </w:tc>
        <w:tc>
          <w:tcPr>
            <w:tcW w:w="2732"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27.2</w:t>
            </w:r>
          </w:p>
        </w:tc>
      </w:tr>
    </w:tbl>
    <w:p>
      <w:pPr>
        <w:pStyle w:val="51"/>
        <w:spacing w:line="520" w:lineRule="exact"/>
        <w:ind w:firstLine="0" w:firstLineChars="0"/>
        <w:jc w:val="center"/>
        <w:rPr>
          <w:rFonts w:ascii="仿宋" w:hAnsi="仿宋" w:eastAsia="仿宋" w:cs="仿宋"/>
        </w:rPr>
      </w:pPr>
      <w:r>
        <w:rPr>
          <w:rFonts w:hint="eastAsia" w:ascii="仿宋" w:hAnsi="仿宋" w:eastAsia="仿宋" w:cs="仿宋"/>
        </w:rPr>
        <w:t>表2:2016-2020年龙泉市电子商务网络零售额情况</w:t>
      </w:r>
    </w:p>
    <w:p>
      <w:pPr>
        <w:spacing w:line="520" w:lineRule="exact"/>
        <w:ind w:firstLine="643"/>
        <w:rPr>
          <w:rStyle w:val="55"/>
        </w:rPr>
        <w:sectPr>
          <w:footerReference r:id="rId11" w:type="default"/>
          <w:pgSz w:w="11906" w:h="16838"/>
          <w:pgMar w:top="1440" w:right="1800" w:bottom="1440" w:left="1800" w:header="851" w:footer="992" w:gutter="0"/>
          <w:cols w:space="425" w:num="1"/>
          <w:docGrid w:type="lines" w:linePitch="312" w:charSpace="0"/>
        </w:sectPr>
      </w:pPr>
      <w:bookmarkStart w:id="9" w:name="_Toc28585"/>
      <w:bookmarkStart w:id="10" w:name="_Toc1157"/>
    </w:p>
    <w:p>
      <w:pPr>
        <w:spacing w:line="520" w:lineRule="exact"/>
        <w:ind w:firstLine="643"/>
        <w:rPr>
          <w:rFonts w:ascii="仿宋" w:hAnsi="仿宋" w:eastAsia="仿宋" w:cs="仿宋_GB2312"/>
          <w:color w:val="000000"/>
          <w:sz w:val="32"/>
          <w:szCs w:val="32"/>
        </w:rPr>
      </w:pPr>
      <w:r>
        <w:rPr>
          <w:rStyle w:val="55"/>
          <w:rFonts w:hint="eastAsia"/>
        </w:rPr>
        <w:t>（三）对外贸易保持稳中向好</w:t>
      </w:r>
      <w:bookmarkEnd w:id="9"/>
      <w:r>
        <w:rPr>
          <w:rFonts w:hint="eastAsia" w:ascii="仿宋" w:hAnsi="仿宋" w:eastAsia="仿宋" w:cs="仿宋"/>
          <w:b/>
          <w:sz w:val="32"/>
        </w:rPr>
        <w:t>。</w:t>
      </w:r>
      <w:bookmarkEnd w:id="10"/>
      <w:r>
        <w:rPr>
          <w:rFonts w:hint="eastAsia" w:ascii="仿宋" w:hAnsi="仿宋" w:eastAsia="仿宋" w:cs="仿宋_GB2312"/>
          <w:color w:val="000000"/>
          <w:sz w:val="32"/>
          <w:szCs w:val="32"/>
        </w:rPr>
        <w:t>“十三五”期间，全市累计实现进出口总额108.49亿元，年均增长7.6%。其中出口总额107.98亿元，年均增长7.7%，进口总额5298.56万元，年均贸易顺差超20亿元。出口国际市场结构更加多元，</w:t>
      </w:r>
      <w:r>
        <w:rPr>
          <w:rFonts w:hint="eastAsia" w:ascii="仿宋" w:hAnsi="仿宋" w:eastAsia="仿宋" w:cs="仿宋_GB2312"/>
          <w:color w:val="000000"/>
          <w:sz w:val="32"/>
          <w:szCs w:val="32"/>
          <w:lang w:val="en-US" w:eastAsia="zh-CN"/>
        </w:rPr>
        <w:t>170多</w:t>
      </w:r>
      <w:r>
        <w:rPr>
          <w:rFonts w:hint="eastAsia" w:ascii="仿宋" w:hAnsi="仿宋" w:eastAsia="仿宋" w:cs="仿宋_GB2312"/>
          <w:color w:val="000000"/>
          <w:sz w:val="32"/>
          <w:szCs w:val="32"/>
        </w:rPr>
        <w:t>个国家（地区）与我市企业发生直接贸易往来。</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05"/>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年度</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进出口总额（亿元）</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增幅（%）</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出口总额（亿元）</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增幅（%）</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进口总额（万元）</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2016</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17.77</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-22.33</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17.71</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-22.49</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626.58</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89.51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2017</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20.63</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16.07</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20.39</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15.07</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2492</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2018</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25.25</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23.21</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25.21</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23.99</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400</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2019</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24.54</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-2.84</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24.38</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-3.31</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1637</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2020</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20.3</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-17.29</w:t>
            </w: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20.29</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-16.79</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142.98</w:t>
            </w: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-91.26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合计</w:t>
            </w:r>
          </w:p>
        </w:tc>
        <w:tc>
          <w:tcPr>
            <w:tcW w:w="1305"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108.49</w:t>
            </w:r>
          </w:p>
        </w:tc>
        <w:tc>
          <w:tcPr>
            <w:tcW w:w="1217" w:type="dxa"/>
            <w:vAlign w:val="center"/>
          </w:tcPr>
          <w:p>
            <w:pPr>
              <w:pStyle w:val="51"/>
              <w:spacing w:line="520" w:lineRule="exact"/>
              <w:jc w:val="center"/>
              <w:rPr>
                <w:rFonts w:ascii="仿宋" w:hAnsi="仿宋" w:eastAsia="仿宋" w:cs="仿宋"/>
              </w:rPr>
            </w:pPr>
          </w:p>
        </w:tc>
        <w:tc>
          <w:tcPr>
            <w:tcW w:w="1217"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107.98</w:t>
            </w:r>
          </w:p>
        </w:tc>
        <w:tc>
          <w:tcPr>
            <w:tcW w:w="1218" w:type="dxa"/>
            <w:vAlign w:val="center"/>
          </w:tcPr>
          <w:p>
            <w:pPr>
              <w:pStyle w:val="51"/>
              <w:spacing w:line="520" w:lineRule="exact"/>
              <w:jc w:val="center"/>
              <w:rPr>
                <w:rFonts w:ascii="仿宋" w:hAnsi="仿宋" w:eastAsia="仿宋" w:cs="仿宋"/>
              </w:rPr>
            </w:pPr>
          </w:p>
        </w:tc>
        <w:tc>
          <w:tcPr>
            <w:tcW w:w="1218" w:type="dxa"/>
            <w:vAlign w:val="center"/>
          </w:tcPr>
          <w:p>
            <w:pPr>
              <w:pStyle w:val="51"/>
              <w:spacing w:line="520" w:lineRule="exact"/>
              <w:ind w:firstLine="0" w:firstLineChars="0"/>
              <w:jc w:val="center"/>
              <w:rPr>
                <w:rFonts w:ascii="仿宋" w:hAnsi="仿宋" w:eastAsia="仿宋" w:cs="仿宋"/>
              </w:rPr>
            </w:pPr>
            <w:r>
              <w:rPr>
                <w:rFonts w:hint="eastAsia" w:ascii="仿宋" w:hAnsi="仿宋" w:eastAsia="仿宋" w:cs="仿宋"/>
              </w:rPr>
              <w:t>5298.56</w:t>
            </w:r>
          </w:p>
        </w:tc>
        <w:tc>
          <w:tcPr>
            <w:tcW w:w="1218" w:type="dxa"/>
            <w:vAlign w:val="center"/>
          </w:tcPr>
          <w:p>
            <w:pPr>
              <w:pStyle w:val="51"/>
              <w:spacing w:line="520" w:lineRule="exact"/>
              <w:jc w:val="center"/>
              <w:rPr>
                <w:rFonts w:ascii="仿宋" w:hAnsi="仿宋" w:eastAsia="仿宋" w:cs="仿宋"/>
              </w:rPr>
            </w:pPr>
          </w:p>
        </w:tc>
      </w:tr>
    </w:tbl>
    <w:p>
      <w:pPr>
        <w:pStyle w:val="51"/>
        <w:spacing w:line="520" w:lineRule="exact"/>
        <w:ind w:firstLine="0" w:firstLineChars="0"/>
        <w:jc w:val="center"/>
        <w:rPr>
          <w:rFonts w:ascii="仿宋" w:hAnsi="仿宋" w:eastAsia="仿宋" w:cs="仿宋"/>
        </w:rPr>
      </w:pPr>
      <w:r>
        <w:rPr>
          <w:rFonts w:hint="eastAsia" w:ascii="仿宋" w:hAnsi="仿宋" w:eastAsia="仿宋" w:cs="仿宋"/>
        </w:rPr>
        <w:t>表3:2016-2020年龙泉市进出口情况</w:t>
      </w:r>
    </w:p>
    <w:p>
      <w:pPr>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2020年，全市有进出口实绩企业107家，其中有实绩生产企业71家，生产企业出口占全市出口比重从2015年35.5%提高到2020年53.8%。龙泉市出口产品以汽配、竹木制品为主，出口额13.42亿元，占全市出口比重66%，较2015年增长了56.2%，其中机电及高新技术产品出口占比达53.43%，高于丽水平均水平4.73个百分点。</w:t>
      </w:r>
    </w:p>
    <w:p>
      <w:pPr>
        <w:spacing w:line="520" w:lineRule="exact"/>
        <w:ind w:firstLine="643"/>
        <w:rPr>
          <w:rFonts w:ascii="仿宋" w:hAnsi="仿宋" w:eastAsia="仿宋" w:cs="仿宋_GB2312"/>
          <w:color w:val="000000"/>
          <w:sz w:val="32"/>
          <w:szCs w:val="32"/>
        </w:rPr>
      </w:pPr>
      <w:bookmarkStart w:id="11" w:name="_Toc21420"/>
      <w:bookmarkStart w:id="12" w:name="_Toc28385"/>
      <w:r>
        <w:rPr>
          <w:rStyle w:val="55"/>
          <w:rFonts w:hint="eastAsia"/>
        </w:rPr>
        <w:t>（四）双向投资保持稳中有进</w:t>
      </w:r>
      <w:bookmarkEnd w:id="11"/>
      <w:r>
        <w:rPr>
          <w:rFonts w:hint="eastAsia" w:ascii="仿宋" w:hAnsi="仿宋" w:eastAsia="仿宋" w:cs="仿宋"/>
          <w:b/>
          <w:bCs/>
          <w:sz w:val="32"/>
        </w:rPr>
        <w:t>。</w:t>
      </w:r>
      <w:bookmarkEnd w:id="12"/>
      <w:r>
        <w:rPr>
          <w:rFonts w:hint="eastAsia" w:ascii="仿宋" w:hAnsi="仿宋" w:eastAsia="仿宋" w:cs="仿宋_GB2312"/>
          <w:color w:val="000000"/>
          <w:sz w:val="32"/>
          <w:szCs w:val="32"/>
        </w:rPr>
        <w:t>“十三五”期间，全市新引进外商投资企业7家，合同利用外资6627.5万美元，实际利用外资3407万美元；全市新增对外投资项目4个，中方投资备案额250万美元，投资以汽车空调零部件境外贸易公司为主，“一带一路”沿线国家和地区成为全市企业“走出去”主要目的地。2019年浙江三田汽车空调压缩机有限公司在马来西亚设立生产企业，成为龙泉市首个“走出去”的生产型企业。</w:t>
      </w:r>
    </w:p>
    <w:p>
      <w:pPr>
        <w:spacing w:line="520" w:lineRule="exact"/>
        <w:ind w:firstLine="643"/>
        <w:rPr>
          <w:rFonts w:ascii="仿宋" w:hAnsi="仿宋" w:eastAsia="仿宋" w:cs="仿宋_GB2312"/>
          <w:color w:val="000000"/>
          <w:sz w:val="32"/>
          <w:szCs w:val="32"/>
        </w:rPr>
      </w:pPr>
      <w:bookmarkStart w:id="13" w:name="_Toc30141"/>
      <w:r>
        <w:rPr>
          <w:rStyle w:val="55"/>
          <w:rFonts w:hint="eastAsia"/>
        </w:rPr>
        <w:t>（五）品牌培育力度持续加强</w:t>
      </w:r>
      <w:bookmarkEnd w:id="13"/>
      <w:r>
        <w:rPr>
          <w:rFonts w:hint="eastAsia" w:ascii="仿宋" w:hAnsi="仿宋" w:eastAsia="仿宋" w:cs="仿宋"/>
          <w:b/>
          <w:bCs/>
          <w:sz w:val="32"/>
          <w:szCs w:val="32"/>
        </w:rPr>
        <w:t>。</w:t>
      </w:r>
      <w:r>
        <w:rPr>
          <w:rFonts w:hint="eastAsia" w:ascii="仿宋" w:hAnsi="仿宋" w:eastAsia="仿宋" w:cs="仿宋_GB2312"/>
          <w:color w:val="000000"/>
          <w:sz w:val="32"/>
          <w:szCs w:val="32"/>
        </w:rPr>
        <w:t>“十三五”期间，全市新增省老字号企业4家，全市现有中华老字号企业4家，浙江老字号企业19家，“丽水老字号”25家，老字号总数位居丽水市第一位；连续三年组织老字号企业参加中国中华老字号精品博览会，老字号企业连续两年被选为上海进博会参展企业。外贸企业创新能力、品牌建设、营销能力不断增长，现有境外专利13件，境外注册商标50多件，1家企业被评为国家文化出口</w:t>
      </w:r>
      <w:r>
        <w:rPr>
          <w:rFonts w:hint="eastAsia" w:ascii="仿宋" w:hAnsi="仿宋" w:eastAsia="仿宋" w:cs="仿宋_GB2312"/>
          <w:color w:val="000000"/>
          <w:sz w:val="32"/>
          <w:szCs w:val="32"/>
          <w:lang w:eastAsia="zh-CN"/>
        </w:rPr>
        <w:t>重点</w:t>
      </w:r>
      <w:r>
        <w:rPr>
          <w:rFonts w:hint="eastAsia" w:ascii="仿宋" w:hAnsi="仿宋" w:eastAsia="仿宋" w:cs="仿宋_GB2312"/>
          <w:color w:val="000000"/>
          <w:sz w:val="32"/>
          <w:szCs w:val="32"/>
        </w:rPr>
        <w:t>企业，3家企业获得省级出口名牌，4家获得丽水市级出口名牌，70%规模以上企业取得国际通行的管理体系认证。</w:t>
      </w:r>
    </w:p>
    <w:p>
      <w:pPr>
        <w:spacing w:line="520" w:lineRule="exact"/>
        <w:ind w:firstLine="643"/>
        <w:rPr>
          <w:rFonts w:ascii="仿宋" w:hAnsi="仿宋" w:eastAsia="仿宋" w:cs="仿宋_GB2312"/>
          <w:color w:val="000000"/>
          <w:sz w:val="32"/>
          <w:szCs w:val="32"/>
        </w:rPr>
      </w:pPr>
      <w:bookmarkStart w:id="14" w:name="_Toc26797"/>
      <w:r>
        <w:rPr>
          <w:rStyle w:val="55"/>
          <w:rFonts w:hint="eastAsia"/>
        </w:rPr>
        <w:t>（六）商贸投资项目持续增加</w:t>
      </w:r>
      <w:bookmarkEnd w:id="14"/>
      <w:r>
        <w:rPr>
          <w:rFonts w:hint="eastAsia" w:ascii="仿宋" w:hAnsi="仿宋" w:eastAsia="仿宋" w:cs="仿宋"/>
          <w:b/>
          <w:bCs/>
          <w:sz w:val="32"/>
          <w:szCs w:val="32"/>
        </w:rPr>
        <w:t>。</w:t>
      </w:r>
      <w:r>
        <w:rPr>
          <w:rFonts w:hint="eastAsia" w:ascii="仿宋" w:hAnsi="仿宋" w:eastAsia="仿宋" w:cs="仿宋_GB2312"/>
          <w:color w:val="000000"/>
          <w:sz w:val="32"/>
          <w:szCs w:val="32"/>
        </w:rPr>
        <w:t>“十三五”期间，全市商贸投资项目百花齐放，建成集龙泉茶文化品牌宣传、展示、表演、销售</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茶事体验与休闲为一体的上茶街；汇集九姑山森林公园和府衙文化的龙渊新天地顺利投入使用；瓯江文化休闲康养中心、综合电商中心、城市文化</w:t>
      </w:r>
      <w:r>
        <w:rPr>
          <w:rFonts w:hint="eastAsia" w:ascii="仿宋" w:hAnsi="仿宋" w:eastAsia="仿宋" w:cs="仿宋_GB2312"/>
          <w:color w:val="000000"/>
          <w:sz w:val="32"/>
          <w:szCs w:val="32"/>
          <w:lang w:eastAsia="zh-CN"/>
        </w:rPr>
        <w:t>会</w:t>
      </w:r>
      <w:r>
        <w:rPr>
          <w:rFonts w:hint="eastAsia" w:ascii="仿宋" w:hAnsi="仿宋" w:eastAsia="仿宋" w:cs="仿宋_GB2312"/>
          <w:color w:val="000000"/>
          <w:sz w:val="32"/>
          <w:szCs w:val="32"/>
        </w:rPr>
        <w:t>客厅、宝剑小镇风情一条街、氧吧长寿小镇核心区（一期）等一批重大商贸项目已落地开工；现有电商园4个</w:t>
      </w:r>
      <w:r>
        <w:rPr>
          <w:rFonts w:hint="eastAsia" w:ascii="仿宋" w:hAnsi="仿宋" w:eastAsia="仿宋" w:cs="仿宋_GB2312"/>
          <w:color w:val="000000"/>
          <w:sz w:val="32"/>
          <w:szCs w:val="32"/>
          <w:lang w:eastAsia="zh-CN"/>
        </w:rPr>
        <w:t>（龙谷、甲乙、网</w:t>
      </w:r>
      <w:r>
        <w:rPr>
          <w:rFonts w:hint="default" w:ascii="仿宋" w:hAnsi="仿宋" w:eastAsia="仿宋" w:cs="仿宋_GB2312"/>
          <w:color w:val="000000"/>
          <w:sz w:val="32"/>
          <w:szCs w:val="32"/>
          <w:lang w:val="en-US" w:eastAsia="zh-CN"/>
        </w:rPr>
        <w:t>智</w:t>
      </w:r>
      <w:r>
        <w:rPr>
          <w:rFonts w:hint="eastAsia" w:ascii="仿宋" w:hAnsi="仿宋" w:eastAsia="仿宋" w:cs="仿宋_GB2312"/>
          <w:color w:val="000000"/>
          <w:sz w:val="32"/>
          <w:szCs w:val="32"/>
          <w:lang w:val="en-US" w:eastAsia="zh-CN"/>
        </w:rPr>
        <w:t>、网鑫</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，入驻电商约350家；建成再生资源临时分拣中心1个。</w:t>
      </w:r>
    </w:p>
    <w:p>
      <w:pPr>
        <w:spacing w:line="520" w:lineRule="exact"/>
        <w:ind w:firstLine="643"/>
        <w:rPr>
          <w:rFonts w:ascii="仿宋" w:hAnsi="仿宋" w:eastAsia="仿宋" w:cs="仿宋"/>
          <w:sz w:val="32"/>
          <w:szCs w:val="32"/>
        </w:rPr>
      </w:pPr>
      <w:bookmarkStart w:id="15" w:name="_Toc31272"/>
      <w:r>
        <w:rPr>
          <w:rStyle w:val="55"/>
          <w:rFonts w:hint="eastAsia"/>
        </w:rPr>
        <w:t>（七）商务</w:t>
      </w:r>
      <w:bookmarkEnd w:id="15"/>
      <w:r>
        <w:rPr>
          <w:rStyle w:val="55"/>
          <w:rFonts w:hint="eastAsia"/>
        </w:rPr>
        <w:t>领域改革取得积极成效</w:t>
      </w:r>
      <w:r>
        <w:rPr>
          <w:rFonts w:hint="eastAsia" w:ascii="仿宋" w:hAnsi="仿宋" w:eastAsia="仿宋" w:cs="仿宋"/>
          <w:b/>
          <w:bCs/>
          <w:sz w:val="32"/>
          <w:szCs w:val="32"/>
        </w:rPr>
        <w:t>。</w:t>
      </w:r>
      <w:r>
        <w:rPr>
          <w:rFonts w:hint="eastAsia" w:ascii="仿宋" w:hAnsi="仿宋" w:eastAsia="仿宋" w:cs="仿宋_GB2312"/>
          <w:color w:val="000000"/>
          <w:sz w:val="32"/>
          <w:szCs w:val="32"/>
        </w:rPr>
        <w:t>“十三五”期间，积极争取国家、省商务领域改革示范试点，先后被列入国家外贸转型升级基地、浙江省汽车空调零部件出口基地、浙江省外贸转型升级试点示范县（市、区）、浙江省实体商业转型升级试点、浙江省批发零售业改造提升试点，共获得省级专项试点补助2260万元。持续完善龙泉市支持商务发展政策体系，2020年在疫情防控背景下，出台了促</w:t>
      </w:r>
      <w:r>
        <w:rPr>
          <w:rFonts w:hint="eastAsia" w:ascii="仿宋" w:hAnsi="仿宋" w:eastAsia="仿宋" w:cs="仿宋"/>
          <w:sz w:val="32"/>
          <w:szCs w:val="32"/>
        </w:rPr>
        <w:t>消费、稳外贸超常规政策，累计兑现市本级商务企业扶持资金8346万元。</w:t>
      </w:r>
    </w:p>
    <w:p>
      <w:pPr>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总体来看，“十三五”期间龙泉市商务经济工作稳步开展，但仍存在：消费增长后劲不足，现代物流体系有待进一步完善；冷链物流的相关软硬件配套建设不足，打通“最后一公里”物流点多面广线长，农村下沉市场的消费潜力释放依然受到一定制约；内外贸一体化发展急需突破，外贸转型升级动力不够，进出口贸易不平衡；高质量商贸类项目偏少，服务贸易总量偏少；开发区利用外资主战场作用不明显；外贸人才及电商人才短缺等问题。“十四五”时期，全市</w:t>
      </w:r>
      <w:r>
        <w:rPr>
          <w:rFonts w:hint="eastAsia" w:ascii="仿宋" w:hAnsi="仿宋" w:eastAsia="仿宋" w:cs="仿宋_GB2312"/>
          <w:color w:val="000000"/>
          <w:sz w:val="32"/>
          <w:szCs w:val="32"/>
          <w:lang w:eastAsia="zh-CN"/>
        </w:rPr>
        <w:t>要</w:t>
      </w:r>
      <w:r>
        <w:rPr>
          <w:rFonts w:hint="eastAsia" w:ascii="仿宋" w:hAnsi="仿宋" w:eastAsia="仿宋" w:cs="仿宋_GB2312"/>
          <w:color w:val="000000"/>
          <w:sz w:val="32"/>
          <w:szCs w:val="32"/>
        </w:rPr>
        <w:t>坚持问题导向深化改革创新，持续攻坚克难，努力补上发展短板弱项，持续推动商务经济高质量发展。</w:t>
      </w:r>
    </w:p>
    <w:p>
      <w:pPr>
        <w:pStyle w:val="52"/>
        <w:spacing w:line="520" w:lineRule="exact"/>
      </w:pPr>
      <w:bookmarkStart w:id="16" w:name="_Toc26052"/>
      <w:bookmarkStart w:id="17" w:name="_Toc90754292"/>
      <w:r>
        <w:rPr>
          <w:rFonts w:hint="eastAsia"/>
        </w:rPr>
        <w:t>二、发展环境</w:t>
      </w:r>
      <w:bookmarkEnd w:id="16"/>
      <w:bookmarkEnd w:id="17"/>
    </w:p>
    <w:p>
      <w:pPr>
        <w:spacing w:line="520" w:lineRule="exact"/>
        <w:ind w:firstLine="643"/>
        <w:rPr>
          <w:rFonts w:ascii="仿宋" w:hAnsi="仿宋" w:eastAsia="仿宋" w:cs="仿宋_GB2312"/>
          <w:color w:val="000000"/>
          <w:sz w:val="32"/>
          <w:szCs w:val="32"/>
        </w:rPr>
      </w:pPr>
      <w:bookmarkStart w:id="18" w:name="_Toc90754293"/>
      <w:bookmarkStart w:id="19" w:name="_Toc26100"/>
      <w:r>
        <w:rPr>
          <w:rStyle w:val="55"/>
          <w:rFonts w:hint="eastAsia"/>
        </w:rPr>
        <w:t>（一）国际国内形势</w:t>
      </w:r>
      <w:bookmarkEnd w:id="18"/>
      <w:r>
        <w:rPr>
          <w:rStyle w:val="55"/>
          <w:rFonts w:hint="eastAsia"/>
        </w:rPr>
        <w:t>。</w:t>
      </w:r>
      <w:bookmarkEnd w:id="19"/>
      <w:r>
        <w:rPr>
          <w:rFonts w:hint="eastAsia" w:ascii="仿宋" w:hAnsi="仿宋" w:eastAsia="仿宋" w:cs="仿宋_GB2312"/>
          <w:color w:val="000000"/>
          <w:sz w:val="32"/>
          <w:szCs w:val="32"/>
        </w:rPr>
        <w:t>以国内大循环为主</w:t>
      </w:r>
      <w:r>
        <w:rPr>
          <w:rFonts w:hint="eastAsia" w:ascii="仿宋" w:hAnsi="仿宋" w:eastAsia="仿宋" w:cs="仿宋_GB2312"/>
          <w:color w:val="000000"/>
          <w:sz w:val="32"/>
          <w:szCs w:val="32"/>
          <w:lang w:eastAsia="zh-CN"/>
        </w:rPr>
        <w:t>体</w:t>
      </w:r>
      <w:r>
        <w:rPr>
          <w:rFonts w:hint="eastAsia" w:ascii="仿宋" w:hAnsi="仿宋" w:eastAsia="仿宋" w:cs="仿宋_GB2312"/>
          <w:color w:val="000000"/>
          <w:sz w:val="32"/>
          <w:szCs w:val="32"/>
        </w:rPr>
        <w:t>，国内国际双循环相互促进的新发展格局给龙泉商务高质量发展带来新机遇。</w:t>
      </w:r>
      <w:r>
        <w:rPr>
          <w:rFonts w:hint="eastAsia" w:ascii="仿宋" w:hAnsi="仿宋" w:eastAsia="仿宋" w:cs="仿宋"/>
          <w:b/>
          <w:sz w:val="32"/>
          <w:szCs w:val="32"/>
        </w:rPr>
        <w:t>国际区域经济一体化深入发展。</w:t>
      </w:r>
      <w:r>
        <w:rPr>
          <w:rFonts w:hint="eastAsia" w:ascii="仿宋" w:hAnsi="仿宋" w:eastAsia="仿宋" w:cs="仿宋_GB2312"/>
          <w:color w:val="000000"/>
          <w:sz w:val="32"/>
          <w:szCs w:val="32"/>
        </w:rPr>
        <w:t>当前，新一轮科技革命和产业变革深入发展，带动新技术、新产业、新业态、新模式等快速发展，服务贸易、数字贸易成为新一轮国际贸易规则竞争新焦点，“一带一路”稳健发展、区域全面经济伙伴关系协定（RCEP）正式实施，都将有力促进地区经济复苏和拉动全球经济增长，进一步推动区域经济一体化深化发展。全球产业链供应链加速重构，供应链本地化、区域化和分散化趋势明显。</w:t>
      </w:r>
      <w:r>
        <w:rPr>
          <w:rFonts w:hint="eastAsia" w:ascii="仿宋" w:hAnsi="仿宋" w:eastAsia="仿宋" w:cs="仿宋"/>
          <w:b/>
          <w:sz w:val="32"/>
          <w:szCs w:val="32"/>
        </w:rPr>
        <w:t>国内进入高质量发展阶段。</w:t>
      </w:r>
      <w:r>
        <w:rPr>
          <w:rFonts w:hint="eastAsia" w:ascii="仿宋" w:hAnsi="仿宋" w:eastAsia="仿宋" w:cs="仿宋"/>
          <w:sz w:val="32"/>
          <w:szCs w:val="32"/>
        </w:rPr>
        <w:t>当</w:t>
      </w:r>
      <w:r>
        <w:rPr>
          <w:rFonts w:hint="eastAsia" w:ascii="仿宋" w:hAnsi="仿宋" w:eastAsia="仿宋" w:cs="仿宋_GB2312"/>
          <w:color w:val="000000"/>
          <w:sz w:val="32"/>
          <w:szCs w:val="32"/>
        </w:rPr>
        <w:t>前我国已进入高质量发展新阶段，制度优势显著，治理效能提升，发展韧性强、潜力大，新发展格局加快构建，国内强大市场对经济发展的拉动作用不断增强，为形成对外开放新优势提供了有力依托。“中国制造2025”、长江经济带、长三角一体化、共同富裕示范区等一系列重大区域发展战略稳步推进，开放范围不断扩大，开放领域不断拓宽，开放层次不断深化。</w:t>
      </w:r>
    </w:p>
    <w:p>
      <w:pPr>
        <w:spacing w:line="520" w:lineRule="exact"/>
        <w:ind w:firstLine="643"/>
        <w:rPr>
          <w:sz w:val="32"/>
          <w:szCs w:val="32"/>
        </w:rPr>
      </w:pPr>
      <w:bookmarkStart w:id="20" w:name="_Toc90754294"/>
      <w:bookmarkStart w:id="21" w:name="_Toc29389"/>
      <w:r>
        <w:rPr>
          <w:rStyle w:val="55"/>
          <w:rFonts w:hint="eastAsia"/>
        </w:rPr>
        <w:t>（二）省内形势</w:t>
      </w:r>
      <w:bookmarkEnd w:id="20"/>
      <w:r>
        <w:rPr>
          <w:rStyle w:val="55"/>
          <w:rFonts w:hint="eastAsia"/>
        </w:rPr>
        <w:t>。</w:t>
      </w:r>
      <w:bookmarkEnd w:id="21"/>
      <w:r>
        <w:rPr>
          <w:rFonts w:hint="eastAsia" w:ascii="仿宋_GB2312" w:hAnsi="仿宋_GB2312" w:eastAsia="仿宋_GB2312" w:cs="仿宋_GB2312"/>
          <w:sz w:val="32"/>
          <w:szCs w:val="32"/>
        </w:rPr>
        <w:t>全面推进数字化改革，</w:t>
      </w:r>
      <w:r>
        <w:rPr>
          <w:rFonts w:hint="eastAsia" w:ascii="仿宋" w:hAnsi="仿宋" w:eastAsia="仿宋" w:cs="仿宋_GB2312"/>
          <w:color w:val="000000"/>
          <w:sz w:val="32"/>
          <w:szCs w:val="32"/>
        </w:rPr>
        <w:t>打造数字化新服务强省</w:t>
      </w:r>
      <w:r>
        <w:rPr>
          <w:rFonts w:hint="eastAsia" w:ascii="仿宋_GB2312" w:hAnsi="仿宋_GB2312" w:eastAsia="仿宋_GB2312" w:cs="仿宋_GB2312"/>
          <w:sz w:val="32"/>
          <w:szCs w:val="32"/>
        </w:rPr>
        <w:t>为龙泉商务高质量发展指出新方向。</w:t>
      </w:r>
      <w:r>
        <w:rPr>
          <w:rFonts w:hint="eastAsia" w:ascii="仿宋" w:hAnsi="仿宋" w:eastAsia="仿宋" w:cs="仿宋_GB2312"/>
          <w:color w:val="000000"/>
          <w:sz w:val="32"/>
          <w:szCs w:val="32"/>
        </w:rPr>
        <w:t>进一步提升龙泉市商务流通行业的数字化、智慧化水平，以新服务带动新消费，着力培育新模式新业态，推动数字化技术、数字化思维、数字化认知在商务领域的广泛应用，推动商贸服务业数字化转型。营造良好的线上线下商贸流通消费环境，建立城乡商贸流通体系，激发居民消费潜力，更好满足群众对高层次、多样化、多方面的消费需求，缩小城乡差距，实现共同富裕。</w:t>
      </w:r>
    </w:p>
    <w:p>
      <w:pPr>
        <w:spacing w:line="520" w:lineRule="exact"/>
        <w:ind w:firstLine="643"/>
        <w:rPr>
          <w:rFonts w:ascii="仿宋" w:hAnsi="仿宋" w:eastAsia="仿宋" w:cs="仿宋_GB2312"/>
          <w:color w:val="000000"/>
          <w:sz w:val="32"/>
          <w:szCs w:val="32"/>
        </w:rPr>
      </w:pPr>
      <w:bookmarkStart w:id="22" w:name="_Toc90754295"/>
      <w:bookmarkStart w:id="23" w:name="_Toc24763"/>
      <w:r>
        <w:rPr>
          <w:rStyle w:val="55"/>
          <w:rFonts w:hint="eastAsia"/>
        </w:rPr>
        <w:t>（三）市域环境</w:t>
      </w:r>
      <w:bookmarkEnd w:id="22"/>
      <w:r>
        <w:rPr>
          <w:rStyle w:val="55"/>
          <w:rFonts w:hint="eastAsia"/>
        </w:rPr>
        <w:t>。</w:t>
      </w:r>
      <w:bookmarkEnd w:id="23"/>
      <w:r>
        <w:rPr>
          <w:rFonts w:hint="eastAsia" w:ascii="仿宋" w:hAnsi="仿宋" w:eastAsia="仿宋" w:cs="仿宋_GB2312"/>
          <w:color w:val="000000"/>
          <w:sz w:val="32"/>
          <w:szCs w:val="32"/>
          <w:lang w:eastAsia="zh-CN"/>
        </w:rPr>
        <w:t>全面</w:t>
      </w:r>
      <w:r>
        <w:rPr>
          <w:rFonts w:hint="default" w:ascii="仿宋" w:hAnsi="仿宋" w:eastAsia="仿宋" w:cs="仿宋_GB2312"/>
          <w:color w:val="000000"/>
          <w:sz w:val="32"/>
          <w:szCs w:val="32"/>
          <w:lang w:val="en-US" w:eastAsia="zh-CN"/>
        </w:rPr>
        <w:t>复</w:t>
      </w:r>
      <w:r>
        <w:rPr>
          <w:rFonts w:hint="eastAsia" w:ascii="仿宋" w:hAnsi="仿宋" w:eastAsia="仿宋" w:cs="仿宋_GB2312"/>
          <w:color w:val="000000"/>
          <w:sz w:val="32"/>
          <w:szCs w:val="32"/>
          <w:lang w:val="en-US" w:eastAsia="zh-CN"/>
        </w:rPr>
        <w:t>兴剑瓷之都，奋力</w:t>
      </w:r>
      <w:r>
        <w:rPr>
          <w:rFonts w:hint="default" w:ascii="仿宋" w:hAnsi="仿宋" w:eastAsia="仿宋" w:cs="仿宋_GB2312"/>
          <w:color w:val="000000"/>
          <w:sz w:val="32"/>
          <w:szCs w:val="32"/>
          <w:lang w:val="en-US" w:eastAsia="zh-CN"/>
        </w:rPr>
        <w:t>打</w:t>
      </w:r>
      <w:r>
        <w:rPr>
          <w:rFonts w:hint="eastAsia" w:ascii="仿宋" w:hAnsi="仿宋" w:eastAsia="仿宋" w:cs="仿宋_GB2312"/>
          <w:color w:val="000000"/>
          <w:sz w:val="32"/>
          <w:szCs w:val="32"/>
          <w:lang w:val="en-US" w:eastAsia="zh-CN"/>
        </w:rPr>
        <w:t>造品质龙泉</w:t>
      </w:r>
      <w:r>
        <w:rPr>
          <w:rFonts w:hint="eastAsia" w:ascii="仿宋" w:hAnsi="仿宋" w:eastAsia="仿宋" w:cs="仿宋_GB2312"/>
          <w:color w:val="000000"/>
          <w:sz w:val="32"/>
          <w:szCs w:val="32"/>
        </w:rPr>
        <w:t>的新发展使命对龙泉商务高质量发展提出新要求。深入实施“三市并举”发展战略，坚持系统观念，系统办法，系统实施龙泉复兴“1369”战略行动，抢抓重大历史机遇，以高质量绿色发展为主线，聚焦“重要窗口”、聚力龙泉复兴，坚定不移走新时代开放创新之路</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通过不断完善商贸发展流通体系，建设更加社会化、专业化、信息化的电商物流服务体系，持续加强与周边城市发展联动、经济互动、要素流动，助力龙泉市打造成为浙闽赣三省边际区域商贸中心城市。</w:t>
      </w:r>
      <w:r>
        <w:rPr>
          <w:rFonts w:hint="eastAsia" w:ascii="仿宋" w:hAnsi="仿宋" w:eastAsia="仿宋" w:cs="仿宋_GB2312"/>
          <w:color w:val="000000"/>
          <w:sz w:val="32"/>
          <w:szCs w:val="32"/>
          <w:lang w:eastAsia="zh-CN"/>
        </w:rPr>
        <w:t>以数字化助推商贸服务业提质扩容，抓好数字</w:t>
      </w:r>
      <w:r>
        <w:rPr>
          <w:rFonts w:hint="default" w:ascii="仿宋" w:hAnsi="仿宋" w:eastAsia="仿宋" w:cs="仿宋_GB2312"/>
          <w:color w:val="000000"/>
          <w:sz w:val="32"/>
          <w:szCs w:val="32"/>
          <w:lang w:val="en-US" w:eastAsia="zh-CN"/>
        </w:rPr>
        <w:t>生</w:t>
      </w:r>
      <w:r>
        <w:rPr>
          <w:rFonts w:hint="eastAsia" w:ascii="仿宋" w:hAnsi="仿宋" w:eastAsia="仿宋" w:cs="仿宋_GB2312"/>
          <w:color w:val="000000"/>
          <w:sz w:val="32"/>
          <w:szCs w:val="32"/>
          <w:lang w:val="en-US" w:eastAsia="zh-CN"/>
        </w:rPr>
        <w:t>活新服务，布局建设“智慧商</w:t>
      </w:r>
      <w:r>
        <w:rPr>
          <w:rFonts w:hint="default" w:ascii="仿宋" w:hAnsi="仿宋" w:eastAsia="仿宋" w:cs="仿宋_GB2312"/>
          <w:color w:val="000000"/>
          <w:sz w:val="32"/>
          <w:szCs w:val="32"/>
          <w:lang w:val="en-US" w:eastAsia="zh-CN"/>
        </w:rPr>
        <w:t>圈</w:t>
      </w:r>
      <w:r>
        <w:rPr>
          <w:rFonts w:hint="eastAsia" w:ascii="仿宋" w:hAnsi="仿宋" w:eastAsia="仿宋" w:cs="仿宋_GB2312"/>
          <w:color w:val="000000"/>
          <w:sz w:val="32"/>
          <w:szCs w:val="32"/>
          <w:lang w:val="en-US" w:eastAsia="zh-CN"/>
        </w:rPr>
        <w:t>”，</w:t>
      </w:r>
      <w:r>
        <w:rPr>
          <w:rFonts w:hint="default" w:ascii="仿宋" w:hAnsi="仿宋" w:eastAsia="仿宋" w:cs="仿宋_GB2312"/>
          <w:color w:val="000000"/>
          <w:sz w:val="32"/>
          <w:szCs w:val="32"/>
          <w:lang w:val="en-US" w:eastAsia="zh-CN"/>
        </w:rPr>
        <w:t>繁</w:t>
      </w:r>
      <w:r>
        <w:rPr>
          <w:rFonts w:hint="eastAsia" w:ascii="仿宋" w:hAnsi="仿宋" w:eastAsia="仿宋" w:cs="仿宋_GB2312"/>
          <w:color w:val="000000"/>
          <w:sz w:val="32"/>
          <w:szCs w:val="32"/>
          <w:lang w:val="en-US" w:eastAsia="zh-CN"/>
        </w:rPr>
        <w:t>荣“</w:t>
      </w:r>
      <w:r>
        <w:rPr>
          <w:rFonts w:hint="default" w:ascii="仿宋" w:hAnsi="仿宋" w:eastAsia="仿宋" w:cs="仿宋_GB2312"/>
          <w:color w:val="000000"/>
          <w:sz w:val="32"/>
          <w:szCs w:val="32"/>
          <w:lang w:val="en-US" w:eastAsia="zh-CN"/>
        </w:rPr>
        <w:t>月</w:t>
      </w:r>
      <w:r>
        <w:rPr>
          <w:rFonts w:hint="eastAsia" w:ascii="仿宋" w:hAnsi="仿宋" w:eastAsia="仿宋" w:cs="仿宋_GB2312"/>
          <w:color w:val="000000"/>
          <w:sz w:val="32"/>
          <w:szCs w:val="32"/>
          <w:lang w:val="en-US" w:eastAsia="zh-CN"/>
        </w:rPr>
        <w:t>光经济”，特色培育青瓷宝</w:t>
      </w:r>
      <w:r>
        <w:rPr>
          <w:rFonts w:hint="default" w:ascii="仿宋" w:hAnsi="仿宋" w:eastAsia="仿宋" w:cs="仿宋_GB2312"/>
          <w:color w:val="000000"/>
          <w:sz w:val="32"/>
          <w:szCs w:val="32"/>
          <w:lang w:val="en-US" w:eastAsia="zh-CN"/>
        </w:rPr>
        <w:t>剑</w:t>
      </w:r>
      <w:r>
        <w:rPr>
          <w:rFonts w:hint="eastAsia" w:ascii="仿宋" w:hAnsi="仿宋" w:eastAsia="仿宋" w:cs="仿宋_GB2312"/>
          <w:color w:val="000000"/>
          <w:sz w:val="32"/>
          <w:szCs w:val="32"/>
          <w:lang w:val="en-US" w:eastAsia="zh-CN"/>
        </w:rPr>
        <w:t>苑、万达广场、龙渊新天地、上茶</w:t>
      </w:r>
      <w:r>
        <w:rPr>
          <w:rFonts w:hint="default" w:ascii="仿宋" w:hAnsi="仿宋" w:eastAsia="仿宋" w:cs="仿宋_GB2312"/>
          <w:color w:val="000000"/>
          <w:sz w:val="32"/>
          <w:szCs w:val="32"/>
          <w:lang w:val="en-US" w:eastAsia="zh-CN"/>
        </w:rPr>
        <w:t>街等</w:t>
      </w:r>
      <w:r>
        <w:rPr>
          <w:rFonts w:hint="eastAsia" w:ascii="仿宋" w:hAnsi="仿宋" w:eastAsia="仿宋" w:cs="仿宋_GB2312"/>
          <w:color w:val="000000"/>
          <w:sz w:val="32"/>
          <w:szCs w:val="32"/>
          <w:lang w:val="en-US" w:eastAsia="zh-CN"/>
        </w:rPr>
        <w:t>消费集聚地，开发更多</w:t>
      </w:r>
      <w:r>
        <w:rPr>
          <w:rFonts w:hint="default" w:ascii="仿宋" w:hAnsi="仿宋" w:eastAsia="仿宋" w:cs="仿宋_GB2312"/>
          <w:color w:val="000000"/>
          <w:sz w:val="32"/>
          <w:szCs w:val="32"/>
          <w:lang w:val="en-US" w:eastAsia="zh-CN"/>
        </w:rPr>
        <w:t>彰</w:t>
      </w:r>
      <w:r>
        <w:rPr>
          <w:rFonts w:hint="eastAsia" w:ascii="仿宋" w:hAnsi="仿宋" w:eastAsia="仿宋" w:cs="仿宋_GB2312"/>
          <w:color w:val="000000"/>
          <w:sz w:val="32"/>
          <w:szCs w:val="32"/>
          <w:lang w:val="en-US" w:eastAsia="zh-CN"/>
        </w:rPr>
        <w:t>显国潮时尚、剑风瓷韵</w:t>
      </w:r>
      <w:r>
        <w:rPr>
          <w:rFonts w:hint="default" w:ascii="仿宋" w:hAnsi="仿宋" w:eastAsia="仿宋" w:cs="仿宋_GB2312"/>
          <w:color w:val="000000"/>
          <w:sz w:val="32"/>
          <w:szCs w:val="32"/>
          <w:lang w:val="en-US" w:eastAsia="zh-CN"/>
        </w:rPr>
        <w:t>的爆</w:t>
      </w:r>
      <w:r>
        <w:rPr>
          <w:rFonts w:hint="eastAsia" w:ascii="仿宋" w:hAnsi="仿宋" w:eastAsia="仿宋" w:cs="仿宋_GB2312"/>
          <w:color w:val="000000"/>
          <w:sz w:val="32"/>
          <w:szCs w:val="32"/>
          <w:lang w:val="en-US" w:eastAsia="zh-CN"/>
        </w:rPr>
        <w:t>款伴</w:t>
      </w:r>
      <w:r>
        <w:rPr>
          <w:rFonts w:hint="default" w:ascii="仿宋" w:hAnsi="仿宋" w:eastAsia="仿宋" w:cs="仿宋_GB2312"/>
          <w:color w:val="000000"/>
          <w:sz w:val="32"/>
          <w:szCs w:val="32"/>
          <w:lang w:val="en-US" w:eastAsia="zh-CN"/>
        </w:rPr>
        <w:t>手</w:t>
      </w:r>
      <w:r>
        <w:rPr>
          <w:rFonts w:hint="eastAsia" w:ascii="仿宋" w:hAnsi="仿宋" w:eastAsia="仿宋" w:cs="仿宋_GB2312"/>
          <w:color w:val="000000"/>
          <w:sz w:val="32"/>
          <w:szCs w:val="32"/>
          <w:lang w:val="en-US" w:eastAsia="zh-CN"/>
        </w:rPr>
        <w:t>礼，加快</w:t>
      </w:r>
      <w:r>
        <w:rPr>
          <w:rFonts w:hint="default" w:ascii="仿宋" w:hAnsi="仿宋" w:eastAsia="仿宋" w:cs="仿宋_GB2312"/>
          <w:color w:val="000000"/>
          <w:sz w:val="32"/>
          <w:szCs w:val="32"/>
          <w:lang w:val="en-US" w:eastAsia="zh-CN"/>
        </w:rPr>
        <w:t>打</w:t>
      </w:r>
      <w:r>
        <w:rPr>
          <w:rFonts w:hint="eastAsia" w:ascii="仿宋" w:hAnsi="仿宋" w:eastAsia="仿宋" w:cs="仿宋_GB2312"/>
          <w:color w:val="000000"/>
          <w:sz w:val="32"/>
          <w:szCs w:val="32"/>
          <w:lang w:val="en-US" w:eastAsia="zh-CN"/>
        </w:rPr>
        <w:t>造更富朝</w:t>
      </w:r>
      <w:r>
        <w:rPr>
          <w:rFonts w:hint="default" w:ascii="仿宋" w:hAnsi="仿宋" w:eastAsia="仿宋" w:cs="仿宋_GB2312"/>
          <w:color w:val="000000"/>
          <w:sz w:val="32"/>
          <w:szCs w:val="32"/>
          <w:lang w:val="en-US" w:eastAsia="zh-CN"/>
        </w:rPr>
        <w:t>气</w:t>
      </w:r>
      <w:r>
        <w:rPr>
          <w:rFonts w:hint="eastAsia" w:ascii="仿宋" w:hAnsi="仿宋" w:eastAsia="仿宋" w:cs="仿宋_GB2312"/>
          <w:color w:val="000000"/>
          <w:sz w:val="32"/>
          <w:szCs w:val="32"/>
          <w:lang w:val="en-US" w:eastAsia="zh-CN"/>
        </w:rPr>
        <w:t>、更有人</w:t>
      </w:r>
      <w:r>
        <w:rPr>
          <w:rFonts w:hint="default" w:ascii="仿宋" w:hAnsi="仿宋" w:eastAsia="仿宋" w:cs="仿宋_GB2312"/>
          <w:color w:val="000000"/>
          <w:sz w:val="32"/>
          <w:szCs w:val="32"/>
          <w:lang w:val="en-US" w:eastAsia="zh-CN"/>
        </w:rPr>
        <w:t>气</w:t>
      </w:r>
      <w:r>
        <w:rPr>
          <w:rFonts w:hint="eastAsia" w:ascii="仿宋" w:hAnsi="仿宋" w:eastAsia="仿宋" w:cs="仿宋_GB2312"/>
          <w:color w:val="000000"/>
          <w:sz w:val="32"/>
          <w:szCs w:val="32"/>
          <w:lang w:val="en-US" w:eastAsia="zh-CN"/>
        </w:rPr>
        <w:t>、更</w:t>
      </w:r>
      <w:r>
        <w:rPr>
          <w:rFonts w:hint="default" w:ascii="仿宋" w:hAnsi="仿宋" w:eastAsia="仿宋" w:cs="仿宋_GB2312"/>
          <w:color w:val="000000"/>
          <w:sz w:val="32"/>
          <w:szCs w:val="32"/>
          <w:lang w:val="en-US" w:eastAsia="zh-CN"/>
        </w:rPr>
        <w:t>具</w:t>
      </w:r>
      <w:r>
        <w:rPr>
          <w:rFonts w:hint="eastAsia" w:ascii="仿宋" w:hAnsi="仿宋" w:eastAsia="仿宋" w:cs="仿宋_GB2312"/>
          <w:color w:val="000000"/>
          <w:sz w:val="32"/>
          <w:szCs w:val="32"/>
          <w:lang w:val="en-US" w:eastAsia="zh-CN"/>
        </w:rPr>
        <w:t>烟火</w:t>
      </w:r>
      <w:r>
        <w:rPr>
          <w:rFonts w:hint="default" w:ascii="仿宋" w:hAnsi="仿宋" w:eastAsia="仿宋" w:cs="仿宋_GB2312"/>
          <w:color w:val="000000"/>
          <w:sz w:val="32"/>
          <w:szCs w:val="32"/>
          <w:lang w:val="en-US" w:eastAsia="zh-CN"/>
        </w:rPr>
        <w:t>气的</w:t>
      </w:r>
      <w:r>
        <w:rPr>
          <w:rFonts w:hint="eastAsia" w:ascii="仿宋" w:hAnsi="仿宋" w:eastAsia="仿宋" w:cs="仿宋_GB2312"/>
          <w:color w:val="000000"/>
          <w:sz w:val="32"/>
          <w:szCs w:val="32"/>
          <w:lang w:val="en-US" w:eastAsia="zh-CN"/>
        </w:rPr>
        <w:t>地标性购物</w:t>
      </w:r>
      <w:r>
        <w:rPr>
          <w:rFonts w:hint="default" w:ascii="仿宋" w:hAnsi="仿宋" w:eastAsia="仿宋" w:cs="仿宋_GB2312"/>
          <w:color w:val="000000"/>
          <w:sz w:val="32"/>
          <w:szCs w:val="32"/>
          <w:lang w:val="en-US" w:eastAsia="zh-CN"/>
        </w:rPr>
        <w:t>中</w:t>
      </w:r>
      <w:r>
        <w:rPr>
          <w:rFonts w:hint="eastAsia" w:ascii="仿宋" w:hAnsi="仿宋" w:eastAsia="仿宋" w:cs="仿宋_GB2312"/>
          <w:color w:val="000000"/>
          <w:sz w:val="32"/>
          <w:szCs w:val="32"/>
          <w:lang w:val="en-US" w:eastAsia="zh-CN"/>
        </w:rPr>
        <w:t>心</w:t>
      </w:r>
      <w:r>
        <w:rPr>
          <w:rFonts w:hint="default" w:ascii="仿宋" w:hAnsi="仿宋" w:eastAsia="仿宋" w:cs="仿宋_GB2312"/>
          <w:color w:val="000000"/>
          <w:sz w:val="32"/>
          <w:szCs w:val="32"/>
          <w:lang w:val="en-US" w:eastAsia="zh-CN"/>
        </w:rPr>
        <w:t>和</w:t>
      </w:r>
      <w:r>
        <w:rPr>
          <w:rFonts w:hint="eastAsia" w:ascii="仿宋" w:hAnsi="仿宋" w:eastAsia="仿宋" w:cs="仿宋_GB2312"/>
          <w:color w:val="000000"/>
          <w:sz w:val="32"/>
          <w:szCs w:val="32"/>
          <w:lang w:val="en-US" w:eastAsia="zh-CN"/>
        </w:rPr>
        <w:t>美食街区。以制度开放牵引</w:t>
      </w:r>
      <w:r>
        <w:rPr>
          <w:rFonts w:hint="default" w:ascii="仿宋" w:hAnsi="仿宋" w:eastAsia="仿宋" w:cs="仿宋_GB2312"/>
          <w:color w:val="000000"/>
          <w:sz w:val="32"/>
          <w:szCs w:val="32"/>
          <w:lang w:val="en-US" w:eastAsia="zh-CN"/>
        </w:rPr>
        <w:t>全方</w:t>
      </w:r>
      <w:r>
        <w:rPr>
          <w:rFonts w:hint="eastAsia" w:ascii="仿宋" w:hAnsi="仿宋" w:eastAsia="仿宋" w:cs="仿宋_GB2312"/>
          <w:color w:val="000000"/>
          <w:sz w:val="32"/>
          <w:szCs w:val="32"/>
          <w:lang w:val="en-US" w:eastAsia="zh-CN"/>
        </w:rPr>
        <w:t>位开放，主动对接浙江自贸区丽</w:t>
      </w:r>
      <w:r>
        <w:rPr>
          <w:rFonts w:hint="default" w:ascii="仿宋" w:hAnsi="仿宋" w:eastAsia="仿宋" w:cs="仿宋_GB2312"/>
          <w:color w:val="000000"/>
          <w:sz w:val="32"/>
          <w:szCs w:val="32"/>
          <w:lang w:val="en-US" w:eastAsia="zh-CN"/>
        </w:rPr>
        <w:t>水</w:t>
      </w:r>
      <w:r>
        <w:rPr>
          <w:rFonts w:hint="eastAsia" w:ascii="仿宋" w:hAnsi="仿宋" w:eastAsia="仿宋" w:cs="仿宋_GB2312"/>
          <w:color w:val="000000"/>
          <w:sz w:val="32"/>
          <w:szCs w:val="32"/>
          <w:lang w:val="en-US" w:eastAsia="zh-CN"/>
        </w:rPr>
        <w:t>联动</w:t>
      </w:r>
      <w:r>
        <w:rPr>
          <w:rFonts w:hint="default" w:ascii="仿宋" w:hAnsi="仿宋" w:eastAsia="仿宋" w:cs="仿宋_GB2312"/>
          <w:color w:val="000000"/>
          <w:sz w:val="32"/>
          <w:szCs w:val="32"/>
          <w:lang w:val="en-US" w:eastAsia="zh-CN"/>
        </w:rPr>
        <w:t>创</w:t>
      </w:r>
      <w:r>
        <w:rPr>
          <w:rFonts w:hint="eastAsia" w:ascii="仿宋" w:hAnsi="仿宋" w:eastAsia="仿宋" w:cs="仿宋_GB2312"/>
          <w:color w:val="000000"/>
          <w:sz w:val="32"/>
          <w:szCs w:val="32"/>
          <w:lang w:val="en-US" w:eastAsia="zh-CN"/>
        </w:rPr>
        <w:t>新区建设，高标准打造汽车空调零部件国家外贸转型升级基地，加快发展开</w:t>
      </w:r>
      <w:r>
        <w:rPr>
          <w:rFonts w:hint="default" w:ascii="仿宋" w:hAnsi="仿宋" w:eastAsia="仿宋" w:cs="仿宋_GB2312"/>
          <w:color w:val="000000"/>
          <w:sz w:val="32"/>
          <w:szCs w:val="32"/>
          <w:lang w:val="en-US" w:eastAsia="zh-CN"/>
        </w:rPr>
        <w:t>放</w:t>
      </w:r>
      <w:r>
        <w:rPr>
          <w:rFonts w:hint="eastAsia" w:ascii="仿宋" w:hAnsi="仿宋" w:eastAsia="仿宋" w:cs="仿宋_GB2312"/>
          <w:color w:val="000000"/>
          <w:sz w:val="32"/>
          <w:szCs w:val="32"/>
          <w:lang w:val="en-US" w:eastAsia="zh-CN"/>
        </w:rPr>
        <w:t>型</w:t>
      </w:r>
      <w:r>
        <w:rPr>
          <w:rFonts w:hint="default" w:ascii="仿宋" w:hAnsi="仿宋" w:eastAsia="仿宋" w:cs="仿宋_GB2312"/>
          <w:color w:val="000000"/>
          <w:sz w:val="32"/>
          <w:szCs w:val="32"/>
          <w:lang w:val="en-US" w:eastAsia="zh-CN"/>
        </w:rPr>
        <w:t>经</w:t>
      </w:r>
      <w:r>
        <w:rPr>
          <w:rFonts w:hint="eastAsia" w:ascii="仿宋" w:hAnsi="仿宋" w:eastAsia="仿宋" w:cs="仿宋_GB2312"/>
          <w:color w:val="000000"/>
          <w:sz w:val="32"/>
          <w:szCs w:val="32"/>
          <w:lang w:val="en-US" w:eastAsia="zh-CN"/>
        </w:rPr>
        <w:t>济。</w:t>
      </w:r>
    </w:p>
    <w:p>
      <w:pPr>
        <w:pStyle w:val="52"/>
        <w:spacing w:line="520" w:lineRule="exact"/>
      </w:pPr>
      <w:bookmarkStart w:id="24" w:name="_Toc90754296"/>
      <w:bookmarkStart w:id="25" w:name="_Toc25458"/>
      <w:r>
        <w:rPr>
          <w:rFonts w:hint="eastAsia"/>
        </w:rPr>
        <w:t>三、</w:t>
      </w:r>
      <w:bookmarkEnd w:id="24"/>
      <w:r>
        <w:rPr>
          <w:rFonts w:hint="eastAsia"/>
        </w:rPr>
        <w:t>总体思路</w:t>
      </w:r>
      <w:bookmarkEnd w:id="25"/>
    </w:p>
    <w:p>
      <w:pPr>
        <w:pStyle w:val="53"/>
        <w:spacing w:line="520" w:lineRule="exact"/>
      </w:pPr>
      <w:bookmarkStart w:id="26" w:name="_Toc6134"/>
      <w:bookmarkStart w:id="27" w:name="_Toc90754297"/>
      <w:r>
        <w:rPr>
          <w:rFonts w:hint="eastAsia"/>
        </w:rPr>
        <w:t>（一）指导思想</w:t>
      </w:r>
      <w:bookmarkEnd w:id="26"/>
      <w:bookmarkEnd w:id="27"/>
    </w:p>
    <w:p>
      <w:pPr>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以习近平新时代中国特色社会主义思想为指导，深入贯彻党的十九届</w:t>
      </w:r>
      <w:r>
        <w:rPr>
          <w:rFonts w:hint="default" w:ascii="仿宋" w:hAnsi="仿宋" w:eastAsia="仿宋" w:cs="仿宋_GB2312"/>
          <w:color w:val="000000"/>
          <w:sz w:val="32"/>
          <w:szCs w:val="32"/>
          <w:lang w:val="en-US"/>
        </w:rPr>
        <w:t>六</w:t>
      </w:r>
      <w:r>
        <w:rPr>
          <w:rFonts w:hint="eastAsia" w:ascii="仿宋" w:hAnsi="仿宋" w:eastAsia="仿宋" w:cs="仿宋_GB2312"/>
          <w:color w:val="000000"/>
          <w:sz w:val="32"/>
          <w:szCs w:val="32"/>
        </w:rPr>
        <w:t>中全会精神，坚持稳中求进工作总基调，立足新发展阶段，贯彻新发展理念，构建新发展格局，聚焦“重要窗口”、聚力龙泉复兴，走开放创新之路</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主动融入长三角一体化和“一带一路”建设，坚持扩量与提质同步推动，进口与出口同步发展，货物贸易与服务贸易同步促进，企业“引进来”与“走出去”同步推进，认真抓好国家电子</w:t>
      </w:r>
      <w:r>
        <w:rPr>
          <w:rFonts w:hint="eastAsia" w:ascii="仿宋" w:hAnsi="仿宋" w:eastAsia="仿宋" w:cs="仿宋_GB2312"/>
          <w:color w:val="000000"/>
          <w:sz w:val="32"/>
          <w:szCs w:val="32"/>
          <w:lang w:eastAsia="zh-CN"/>
        </w:rPr>
        <w:t>商务</w:t>
      </w:r>
      <w:r>
        <w:rPr>
          <w:rFonts w:hint="eastAsia" w:ascii="仿宋" w:hAnsi="仿宋" w:eastAsia="仿宋" w:cs="仿宋_GB2312"/>
          <w:color w:val="000000"/>
          <w:sz w:val="32"/>
          <w:szCs w:val="32"/>
        </w:rPr>
        <w:t>进农村</w:t>
      </w:r>
      <w:r>
        <w:rPr>
          <w:rFonts w:hint="eastAsia" w:ascii="仿宋" w:hAnsi="仿宋" w:eastAsia="仿宋" w:cs="仿宋_GB2312"/>
          <w:color w:val="000000"/>
          <w:sz w:val="32"/>
          <w:szCs w:val="32"/>
          <w:lang w:eastAsia="zh-CN"/>
        </w:rPr>
        <w:t>综合</w:t>
      </w:r>
      <w:r>
        <w:rPr>
          <w:rFonts w:hint="eastAsia" w:ascii="仿宋" w:hAnsi="仿宋" w:eastAsia="仿宋" w:cs="仿宋_GB2312"/>
          <w:color w:val="000000"/>
          <w:sz w:val="32"/>
          <w:szCs w:val="32"/>
        </w:rPr>
        <w:t>示范市、国家外贸转型升级基地、省</w:t>
      </w:r>
      <w:r>
        <w:rPr>
          <w:rFonts w:hint="eastAsia" w:ascii="仿宋" w:hAnsi="仿宋" w:eastAsia="仿宋" w:cs="仿宋_GB2312"/>
          <w:color w:val="000000"/>
          <w:sz w:val="32"/>
          <w:szCs w:val="32"/>
          <w:lang w:eastAsia="zh-CN"/>
        </w:rPr>
        <w:t>级</w:t>
      </w:r>
      <w:r>
        <w:rPr>
          <w:rFonts w:hint="eastAsia" w:ascii="仿宋" w:hAnsi="仿宋" w:eastAsia="仿宋" w:cs="仿宋_GB2312"/>
          <w:color w:val="000000"/>
          <w:sz w:val="32"/>
          <w:szCs w:val="32"/>
        </w:rPr>
        <w:t>商务领域共同富裕示范项目等改革试点，聚力推进高质量商贸经济跨越式发展，为</w:t>
      </w:r>
      <w:r>
        <w:rPr>
          <w:rFonts w:hint="eastAsia" w:ascii="仿宋" w:hAnsi="仿宋" w:eastAsia="仿宋" w:cs="仿宋_GB2312"/>
          <w:color w:val="000000"/>
          <w:sz w:val="32"/>
          <w:szCs w:val="32"/>
          <w:lang w:eastAsia="zh-CN"/>
        </w:rPr>
        <w:t>全面复兴剑瓷之都，奋力打造品质龙泉</w:t>
      </w:r>
      <w:r>
        <w:rPr>
          <w:rFonts w:hint="eastAsia" w:ascii="仿宋" w:hAnsi="仿宋" w:eastAsia="仿宋" w:cs="仿宋_GB2312"/>
          <w:color w:val="000000"/>
          <w:sz w:val="32"/>
          <w:szCs w:val="32"/>
        </w:rPr>
        <w:t>贡献商务力量。</w:t>
      </w:r>
      <w:r>
        <w:rPr>
          <w:rFonts w:ascii="仿宋" w:hAnsi="仿宋" w:eastAsia="仿宋" w:cs="仿宋_GB2312"/>
          <w:color w:val="000000"/>
          <w:sz w:val="32"/>
          <w:szCs w:val="32"/>
        </w:rPr>
        <w:t xml:space="preserve"> </w:t>
      </w:r>
    </w:p>
    <w:p>
      <w:pPr>
        <w:pStyle w:val="53"/>
        <w:spacing w:line="520" w:lineRule="exact"/>
      </w:pPr>
      <w:bookmarkStart w:id="28" w:name="_Toc90754298"/>
      <w:bookmarkStart w:id="29" w:name="_Toc7650"/>
      <w:r>
        <w:rPr>
          <w:rFonts w:hint="eastAsia"/>
        </w:rPr>
        <w:t>（二）基本原则</w:t>
      </w:r>
      <w:bookmarkEnd w:id="28"/>
      <w:bookmarkEnd w:id="29"/>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--坚持数字化发展。</w:t>
      </w:r>
      <w:r>
        <w:rPr>
          <w:rFonts w:hint="eastAsia" w:ascii="仿宋" w:hAnsi="仿宋" w:eastAsia="仿宋" w:cs="仿宋_GB2312"/>
          <w:color w:val="000000"/>
          <w:sz w:val="32"/>
          <w:szCs w:val="32"/>
        </w:rPr>
        <w:t>以数字化改革牵引全面深化改革，推动互联网、物联网、人工智能等技术在商务领域的广泛应用，不断提升商务发展的产业化、数字化、智慧化水平。以自主创新和技术引进双轮驱动，全面提高外贸企业自主创新能力，加快科技成果向现实生产力转化，改造提升传统商贸企业，以数字化改革引领实体商贸经济转型升级。</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--坚持便利化发展。</w:t>
      </w:r>
      <w:r>
        <w:rPr>
          <w:rFonts w:hint="eastAsia" w:ascii="仿宋" w:hAnsi="仿宋" w:eastAsia="仿宋" w:cs="仿宋_GB2312"/>
          <w:color w:val="000000"/>
          <w:sz w:val="32"/>
          <w:szCs w:val="32"/>
        </w:rPr>
        <w:t>坚持把为居民生活增添便利作为商贸发展的出发点和落脚点，通过不断优化城乡商贸基础设施，优化商业网点布局，形成功能更加完善、结构更加合理、特色更加鲜明、服务更加便捷的现代商贸流通网络、农产品流通网络，促进城乡商贸均衡发展，更好满足人民群众日益增长的美好生活需要。落实好国家对外贸易，双向投资的便利化政策。</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--坚持特色化发展。</w:t>
      </w:r>
      <w:r>
        <w:rPr>
          <w:rFonts w:hint="eastAsia" w:ascii="仿宋" w:hAnsi="仿宋" w:eastAsia="仿宋" w:cs="仿宋_GB2312"/>
          <w:color w:val="000000"/>
          <w:sz w:val="32"/>
          <w:szCs w:val="32"/>
        </w:rPr>
        <w:t>依托汽配、剑瓷、竹木、食用菌等特色产业优势，加快数字化改造，推进商贸流通业态融合发展，做大做强龙泉特色产业，打造消费亮点；聚焦汽配、竹木等优势产业，加快外贸出口主导产业提升发展，引导产业向加工精深化、产品高端化发展，提高出口产品附加值，增强产品国际竞争力；用好独特的老字号文化优势，鼓励老字号企业创新发展，传承文化，以品质开拓市场。</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--坚持安全化发展。</w:t>
      </w:r>
      <w:r>
        <w:rPr>
          <w:rFonts w:hint="eastAsia" w:ascii="仿宋" w:hAnsi="仿宋" w:eastAsia="仿宋" w:cs="仿宋_GB2312"/>
          <w:color w:val="000000"/>
          <w:sz w:val="32"/>
          <w:szCs w:val="32"/>
        </w:rPr>
        <w:t>完善应对经贸摩擦机制，持续实施市场多元化战略，更好统筹发展和安全，坚持底线思维，强化系统集成，着力固根基、扬优势、补短板、强弱项，注重防范化解重大风险挑战，实现商务发展质量、结构、规模、速度、效益、安全相统一。加强事中事后监管，丰富防范应对重大风险的手段，形成从风险预警到精准施策的应对标准化流程，提升应急响应处置能力。</w:t>
      </w:r>
      <w:bookmarkStart w:id="30" w:name="_Toc90754299"/>
    </w:p>
    <w:p>
      <w:pPr>
        <w:pStyle w:val="53"/>
        <w:spacing w:line="520" w:lineRule="exact"/>
      </w:pPr>
      <w:bookmarkStart w:id="31" w:name="_Toc21858"/>
      <w:r>
        <w:rPr>
          <w:rFonts w:hint="eastAsia"/>
        </w:rPr>
        <w:t>（三）目标</w:t>
      </w:r>
      <w:bookmarkEnd w:id="30"/>
      <w:bookmarkEnd w:id="31"/>
      <w:r>
        <w:rPr>
          <w:rFonts w:hint="eastAsia"/>
        </w:rPr>
        <w:t>任务</w:t>
      </w:r>
    </w:p>
    <w:p>
      <w:pPr>
        <w:spacing w:line="520" w:lineRule="exact"/>
        <w:ind w:firstLine="643"/>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1.国内贸易迈上新台阶</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--社会消费品零售总额稳中有进。</w:t>
      </w:r>
      <w:r>
        <w:rPr>
          <w:rFonts w:hint="eastAsia" w:ascii="仿宋" w:hAnsi="仿宋" w:eastAsia="仿宋" w:cs="仿宋_GB2312"/>
          <w:color w:val="000000"/>
          <w:sz w:val="32"/>
          <w:szCs w:val="32"/>
        </w:rPr>
        <w:t>到2025年，实现社会消费品零售总额突破110亿元、年均增速8.5%以上。</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--网络零售额较快增长。</w:t>
      </w:r>
      <w:r>
        <w:rPr>
          <w:rFonts w:hint="eastAsia" w:ascii="仿宋" w:hAnsi="仿宋" w:eastAsia="仿宋" w:cs="仿宋_GB2312"/>
          <w:color w:val="000000"/>
          <w:sz w:val="32"/>
          <w:szCs w:val="32"/>
        </w:rPr>
        <w:t>到2025年，实现全市网络零售额65亿元、年均增速15%以上，规模以上（限上）企业电子商务普及率达70%以上。</w:t>
      </w:r>
    </w:p>
    <w:p>
      <w:pPr>
        <w:spacing w:line="520" w:lineRule="exact"/>
        <w:ind w:firstLine="643"/>
        <w:rPr>
          <w:rFonts w:ascii="仿宋" w:hAnsi="仿宋" w:eastAsia="仿宋" w:cs="仿宋_GB2312"/>
          <w:b/>
          <w:bCs/>
          <w:color w:val="000000"/>
          <w:sz w:val="32"/>
          <w:szCs w:val="32"/>
        </w:rPr>
      </w:pPr>
      <w:r>
        <w:rPr>
          <w:rFonts w:hint="eastAsia" w:ascii="仿宋" w:hAnsi="仿宋" w:eastAsia="仿宋" w:cs="仿宋_GB2312"/>
          <w:b/>
          <w:bCs/>
          <w:color w:val="000000"/>
          <w:sz w:val="32"/>
          <w:szCs w:val="32"/>
        </w:rPr>
        <w:t>2.对外开放取得新进展</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--外贸质量不断提高。</w:t>
      </w:r>
      <w:r>
        <w:rPr>
          <w:rFonts w:hint="eastAsia" w:ascii="仿宋" w:hAnsi="仿宋" w:eastAsia="仿宋" w:cs="仿宋_GB2312"/>
          <w:color w:val="000000"/>
          <w:sz w:val="32"/>
          <w:szCs w:val="32"/>
        </w:rPr>
        <w:t>到2025年，力争实现货物贸易进出口总额30亿元。服务贸易模式不断创新，服务贸易出口占对外贸易出口比重、自主品牌出口占对外贸易出口比重进一步提高，服务贸易增长15%以上。</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--双向投资结构更加稳定。</w:t>
      </w:r>
      <w:r>
        <w:rPr>
          <w:rFonts w:hint="eastAsia" w:ascii="仿宋" w:hAnsi="仿宋" w:eastAsia="仿宋" w:cs="仿宋_GB2312"/>
          <w:color w:val="000000"/>
          <w:sz w:val="32"/>
          <w:szCs w:val="32"/>
        </w:rPr>
        <w:t>到2025年，累计新引进外资超5000万美元，外资投资结构持续优化；累计对外直接投资项目10个以上。</w:t>
      </w:r>
    </w:p>
    <w:tbl>
      <w:tblPr>
        <w:tblStyle w:val="21"/>
        <w:tblW w:w="7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3452"/>
        <w:gridCol w:w="1413"/>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类别</w:t>
            </w: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指标名称</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单位</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2" w:type="dxa"/>
            <w:vMerge w:val="restart"/>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商贸流通</w:t>
            </w: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社会消费品零售总额</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亿元</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2" w:type="dxa"/>
            <w:vMerge w:val="continue"/>
            <w:vAlign w:val="center"/>
          </w:tcPr>
          <w:p>
            <w:pPr>
              <w:spacing w:line="520" w:lineRule="exact"/>
              <w:ind w:firstLine="0" w:firstLineChars="0"/>
              <w:jc w:val="center"/>
              <w:rPr>
                <w:rFonts w:ascii="仿宋_GB2312" w:hAnsi="仿宋_GB2312" w:eastAsia="仿宋_GB2312" w:cs="仿宋_GB2312"/>
                <w:sz w:val="22"/>
              </w:rPr>
            </w:pP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网络零售总额</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亿元</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2" w:type="dxa"/>
            <w:vMerge w:val="restart"/>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对外贸易</w:t>
            </w: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进出口总额</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亿元</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2" w:type="dxa"/>
            <w:vMerge w:val="continue"/>
            <w:vAlign w:val="center"/>
          </w:tcPr>
          <w:p>
            <w:pPr>
              <w:spacing w:line="520" w:lineRule="exact"/>
              <w:ind w:firstLine="0" w:firstLineChars="0"/>
              <w:jc w:val="center"/>
              <w:rPr>
                <w:rFonts w:ascii="仿宋_GB2312" w:hAnsi="仿宋_GB2312" w:eastAsia="仿宋_GB2312" w:cs="仿宋_GB2312"/>
                <w:sz w:val="22"/>
              </w:rPr>
            </w:pP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新增出口实绩企业</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家</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2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利用外资</w:t>
            </w:r>
          </w:p>
        </w:tc>
        <w:tc>
          <w:tcPr>
            <w:tcW w:w="3452"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实际利用外资</w:t>
            </w:r>
          </w:p>
        </w:tc>
        <w:tc>
          <w:tcPr>
            <w:tcW w:w="1413"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亿美元</w:t>
            </w:r>
          </w:p>
        </w:tc>
        <w:tc>
          <w:tcPr>
            <w:tcW w:w="1411" w:type="dxa"/>
            <w:vAlign w:val="center"/>
          </w:tcPr>
          <w:p>
            <w:pPr>
              <w:spacing w:line="520" w:lineRule="exact"/>
              <w:ind w:firstLine="0" w:firstLineChars="0"/>
              <w:jc w:val="center"/>
              <w:rPr>
                <w:rFonts w:ascii="仿宋_GB2312" w:hAnsi="仿宋_GB2312" w:eastAsia="仿宋_GB2312" w:cs="仿宋_GB2312"/>
                <w:sz w:val="22"/>
              </w:rPr>
            </w:pPr>
            <w:r>
              <w:rPr>
                <w:rFonts w:hint="eastAsia" w:ascii="仿宋_GB2312" w:hAnsi="仿宋_GB2312" w:eastAsia="仿宋_GB2312" w:cs="仿宋_GB2312"/>
                <w:sz w:val="22"/>
              </w:rPr>
              <w:t>0.5</w:t>
            </w:r>
          </w:p>
        </w:tc>
      </w:tr>
    </w:tbl>
    <w:p>
      <w:pPr>
        <w:spacing w:line="52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21"/>
          <w:szCs w:val="21"/>
        </w:rPr>
        <w:t>表4：“十四五”期间龙泉市商务高质量发展主要指标</w:t>
      </w:r>
    </w:p>
    <w:p>
      <w:pPr>
        <w:pStyle w:val="52"/>
        <w:spacing w:line="520" w:lineRule="exact"/>
      </w:pPr>
      <w:bookmarkStart w:id="32" w:name="_Toc90754300"/>
      <w:bookmarkStart w:id="33" w:name="_Toc30725"/>
      <w:r>
        <w:rPr>
          <w:rFonts w:hint="eastAsia"/>
        </w:rPr>
        <w:t>四、主要任务</w:t>
      </w:r>
      <w:bookmarkEnd w:id="32"/>
      <w:bookmarkEnd w:id="33"/>
    </w:p>
    <w:p>
      <w:pPr>
        <w:pStyle w:val="53"/>
        <w:spacing w:line="520" w:lineRule="exact"/>
        <w:rPr>
          <w:rFonts w:ascii="仿宋_GB2312" w:hAnsi="仿宋_GB2312" w:eastAsia="仿宋_GB2312" w:cs="仿宋_GB2312"/>
        </w:rPr>
      </w:pPr>
      <w:bookmarkStart w:id="34" w:name="_Toc90754301"/>
      <w:bookmarkStart w:id="35" w:name="_Toc1509"/>
      <w:r>
        <w:rPr>
          <w:rFonts w:hint="eastAsia"/>
        </w:rPr>
        <w:t>（一）完善商贸体系建设，打造</w:t>
      </w:r>
      <w:bookmarkEnd w:id="34"/>
      <w:r>
        <w:rPr>
          <w:rFonts w:hint="eastAsia"/>
        </w:rPr>
        <w:t>浙闽赣边际商贸中心</w:t>
      </w:r>
      <w:bookmarkEnd w:id="35"/>
    </w:p>
    <w:p>
      <w:pPr>
        <w:spacing w:line="520" w:lineRule="exact"/>
        <w:ind w:firstLine="640"/>
        <w:rPr>
          <w:rFonts w:ascii="仿宋" w:hAnsi="仿宋" w:eastAsia="仿宋" w:cs="仿宋_GB2312"/>
          <w:color w:val="000000"/>
          <w:sz w:val="32"/>
          <w:szCs w:val="32"/>
        </w:rPr>
      </w:pPr>
      <w:r>
        <w:rPr>
          <w:rFonts w:hint="eastAsia" w:ascii="Calibri" w:hAnsi="Calibri" w:cs="Times New Roman"/>
          <w:sz w:val="32"/>
          <w:szCs w:val="32"/>
        </w:rPr>
        <w:t>1.</w:t>
      </w:r>
      <w:r>
        <w:rPr>
          <w:rFonts w:hint="eastAsia" w:ascii="仿宋_GB2312" w:hAnsi="仿宋_GB2312" w:eastAsia="仿宋_GB2312" w:cs="仿宋_GB2312"/>
          <w:b/>
          <w:bCs/>
          <w:sz w:val="32"/>
          <w:szCs w:val="32"/>
        </w:rPr>
        <w:t>推进商贸基础设施建设。</w:t>
      </w:r>
      <w:r>
        <w:rPr>
          <w:rFonts w:hint="eastAsia" w:ascii="仿宋" w:hAnsi="仿宋" w:eastAsia="仿宋" w:cs="仿宋_GB2312"/>
          <w:color w:val="000000"/>
          <w:sz w:val="32"/>
          <w:szCs w:val="32"/>
        </w:rPr>
        <w:t>聚焦打造成产业特色鲜明，市场发展较快，区域竞争力较强的浙闽赣边际商贸物流节点中心，加快综合电商中心、汽车城等项目建设，加快构建城市会客厅、龙渊新天地、万达广场为中心的城西、城中、城东的商圈，鼓励商圈运营主体建立数字化服务平台，完善消费者服务功能，探索入驻商家信用体系建设。完善再生资源回收体系建设，谋划建设再生资源回收分拣中心。到2025年，计划培育省级智慧商圈1个，省级绿色商场1个，省级公益性农产品市场1个，时尚消费集聚区3个。</w:t>
      </w:r>
    </w:p>
    <w:p>
      <w:pPr>
        <w:spacing w:line="520" w:lineRule="exact"/>
        <w:ind w:firstLine="643"/>
      </w:pPr>
      <w:r>
        <w:rPr>
          <w:rFonts w:hint="eastAsia" w:ascii="仿宋_GB2312" w:hAnsi="仿宋_GB2312" w:eastAsia="仿宋_GB2312" w:cs="仿宋_GB2312"/>
          <w:b/>
          <w:bCs/>
          <w:sz w:val="32"/>
          <w:szCs w:val="32"/>
        </w:rPr>
        <w:t>2.升级县乡村三级物流体系。</w:t>
      </w:r>
      <w:r>
        <w:rPr>
          <w:rFonts w:hint="eastAsia" w:ascii="仿宋" w:hAnsi="仿宋" w:eastAsia="仿宋" w:cs="仿宋_GB2312"/>
          <w:color w:val="000000"/>
          <w:sz w:val="32"/>
          <w:szCs w:val="32"/>
        </w:rPr>
        <w:t>结合龙泉城乡区域分散的实际，推动农产品进城“最初一公里”和消费品下乡“最后一公里”。建设农村物流统仓共配中心，统筹各级快递点、邮政服务点和农民合作社，建立配送存储合作网点，推进资源共享模式建立，健全末端共同配送、共享存放机制，充分发挥民间下乡车辆、邮政配送车辆多余运力，推进快递物流降本增效。实施农商互联冷链物流体系建设专项行动，推行“产品基地+产地冷库”模式，建设高山果蔬等农产品冷链仓储配送中心，建设农产品冷库仓储、冷链运输、超市保鲜等环节完整的冷链物流体系，建立城乡物流一体化配送模式，补齐农产品上行物流短板。探索无人售货机等智能终端设施乡村布点工程，鼓励零售企业在乡镇开设体验店，依托配送存储合作网点，拓宽消费品下乡渠道。至2025年，累计优化提升100个镇村级服务站（点），实现电商快递物流行政村覆盖率100%。实现全市农产品基地全覆盖，新增及改造提升农产品保鲜冷库库容3000立方米以上，基本建成基地—冷库—分拨中心—配送网点四级流通功能布局。</w:t>
      </w:r>
    </w:p>
    <w:p>
      <w:pPr>
        <w:spacing w:line="520" w:lineRule="exact"/>
        <w:ind w:firstLine="643"/>
      </w:pPr>
      <w:r>
        <w:rPr>
          <w:rFonts w:hint="eastAsia" w:ascii="仿宋_GB2312" w:hAnsi="仿宋_GB2312" w:eastAsia="仿宋_GB2312" w:cs="仿宋_GB2312"/>
          <w:b/>
          <w:bCs/>
          <w:sz w:val="32"/>
          <w:szCs w:val="32"/>
        </w:rPr>
        <w:t>3.拓展消费新场景。</w:t>
      </w:r>
      <w:r>
        <w:rPr>
          <w:rFonts w:hint="eastAsia" w:ascii="仿宋" w:hAnsi="仿宋" w:eastAsia="仿宋" w:cs="仿宋_GB2312"/>
          <w:color w:val="000000"/>
          <w:sz w:val="32"/>
          <w:szCs w:val="32"/>
        </w:rPr>
        <w:t>积极挖掘乡镇商贸发展特色，加快特色商贸镇、特色街区、商贸示范村建设，拓展商贸消费新场景。按照“一镇一特色”原则，推进西街、龙渊、八都、安仁等现代商贸特色镇（街道）建设。按照“一街一特色”原则，加大对重点特色商业街区的支持力度，推动青瓷宝剑文化、老字号文化、茶文化融入特色街区，继续推动青瓷宝剑特色商业街、西街历史文化特色街、上茶街、八都长安古街、安仁鱼头特色街、上垟青瓷小镇特色街等特色街区建设。引导有条件的特色街区向高品质步行街发展。建设一批非遗传承人和老字号匠人工作室、文化收藏馆等“打卡”景点。到2025年，培育省级特色商贸镇3个以上，建成一批省级商贸发展示范村。</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4.强化商贸主体培育。</w:t>
      </w:r>
      <w:r>
        <w:rPr>
          <w:rFonts w:hint="eastAsia" w:ascii="仿宋" w:hAnsi="仿宋" w:eastAsia="仿宋" w:cs="仿宋_GB2312"/>
          <w:color w:val="000000"/>
          <w:sz w:val="32"/>
          <w:szCs w:val="32"/>
        </w:rPr>
        <w:t>推动专业市场转型升级，强化商贸综合体、农贸市场、二手车等各类专业市场培育，加快推动浙闽赣食用菌交易中心改造升级，重视综合电商中心入驻企业招商工作。扶强扶优现有商贸企业，加强商贸企业招商工作。完善成品油零售体系，进一步完善成品油零售网点布局，加快重点区域加油站建设。加强老字号企业品牌培育和保护，丰富龙泉老字号品牌种类和数量。开展特色产品品牌建设，打响“天下龙泉”等特色品牌。鼓励各类社区小店、街边小店特色化、标准化、连锁化经营发展。到2025年，培育限上商贸企业100家以上。</w:t>
      </w:r>
    </w:p>
    <w:p>
      <w:pPr>
        <w:spacing w:line="520" w:lineRule="exact"/>
        <w:ind w:firstLine="643"/>
        <w:rPr>
          <w:rFonts w:ascii="仿宋" w:hAnsi="仿宋" w:eastAsia="仿宋" w:cs="仿宋_GB2312"/>
          <w:color w:val="000000"/>
          <w:sz w:val="32"/>
          <w:szCs w:val="32"/>
        </w:rPr>
      </w:pPr>
      <w:r>
        <w:rPr>
          <w:rFonts w:hint="eastAsia" w:ascii="仿宋_GB2312" w:hAnsi="仿宋_GB2312" w:eastAsia="仿宋_GB2312" w:cs="仿宋_GB2312"/>
          <w:b/>
          <w:bCs/>
          <w:sz w:val="32"/>
          <w:szCs w:val="32"/>
        </w:rPr>
        <w:t>5.推进内外贸“一体化”发展。</w:t>
      </w:r>
      <w:r>
        <w:rPr>
          <w:rFonts w:hint="eastAsia" w:ascii="仿宋" w:hAnsi="仿宋" w:eastAsia="仿宋" w:cs="仿宋_GB2312"/>
          <w:color w:val="000000"/>
          <w:sz w:val="32"/>
          <w:szCs w:val="32"/>
        </w:rPr>
        <w:t>引导企业充分利用国内国际两个市场和两种资源，立足国内布局全球，聚焦欧美、“一带一路”、RCEP等国际市场与深度开发国内市场并举，推动内外贸互动互助发展；鼓励外贸企业内外销产品“同线同标同质”发展。建立健全内外贸一体化调控体系，做好内外贸政策、监管体制、经营资质、质量标准、认证认可等方面的衔接，推动出口产品在国际国内两个市场之间顺畅切换。以市场需求为引领，开展“以销定产”生产模式，促进供需两端精准对接，完善产品供应链体系。</w:t>
      </w:r>
    </w:p>
    <w:p>
      <w:pPr>
        <w:pStyle w:val="53"/>
        <w:spacing w:line="520" w:lineRule="exact"/>
      </w:pPr>
      <w:bookmarkStart w:id="36" w:name="_Toc18268"/>
      <w:bookmarkStart w:id="37" w:name="_Toc9048"/>
      <w:bookmarkStart w:id="38" w:name="_Toc6701"/>
      <w:r>
        <w:rPr>
          <w:rFonts w:hint="eastAsia"/>
        </w:rPr>
        <w:t>（二）推进电子商务发展，激发商贸发展新活力</w:t>
      </w:r>
      <w:bookmarkEnd w:id="36"/>
      <w:bookmarkEnd w:id="37"/>
      <w:bookmarkEnd w:id="38"/>
    </w:p>
    <w:p>
      <w:pPr>
        <w:snapToGrid w:val="0"/>
        <w:spacing w:line="520" w:lineRule="exact"/>
        <w:ind w:firstLine="643"/>
        <w:rPr>
          <w:rFonts w:ascii="仿宋" w:hAnsi="仿宋" w:eastAsia="仿宋" w:cs="仿宋_GB2312"/>
          <w:color w:val="000000"/>
          <w:sz w:val="32"/>
          <w:szCs w:val="32"/>
        </w:rPr>
      </w:pPr>
      <w:r>
        <w:rPr>
          <w:rFonts w:hint="eastAsia" w:ascii="仿宋" w:hAnsi="仿宋" w:eastAsia="仿宋" w:cs="仿宋"/>
          <w:b/>
          <w:bCs/>
          <w:sz w:val="32"/>
          <w:szCs w:val="32"/>
        </w:rPr>
        <w:t>1.全力发展电商经济</w:t>
      </w:r>
      <w:r>
        <w:rPr>
          <w:rFonts w:hint="eastAsia" w:ascii="仿宋_GB2312" w:hAnsi="仿宋_GB2312" w:eastAsia="仿宋_GB2312" w:cs="仿宋_GB2312"/>
          <w:sz w:val="32"/>
          <w:szCs w:val="32"/>
        </w:rPr>
        <w:t>。</w:t>
      </w:r>
      <w:r>
        <w:rPr>
          <w:rFonts w:hint="eastAsia" w:ascii="仿宋" w:hAnsi="仿宋" w:eastAsia="仿宋" w:cs="仿宋_GB2312"/>
          <w:color w:val="000000"/>
          <w:sz w:val="32"/>
          <w:szCs w:val="32"/>
        </w:rPr>
        <w:t>以国家级电子商务进农村综合示范</w:t>
      </w:r>
      <w:r>
        <w:rPr>
          <w:rFonts w:hint="eastAsia" w:ascii="仿宋" w:hAnsi="仿宋" w:eastAsia="仿宋" w:cs="仿宋_GB2312"/>
          <w:color w:val="000000"/>
          <w:sz w:val="32"/>
          <w:szCs w:val="32"/>
          <w:lang w:eastAsia="zh-CN"/>
        </w:rPr>
        <w:t>市</w:t>
      </w:r>
      <w:r>
        <w:rPr>
          <w:rFonts w:hint="eastAsia" w:ascii="仿宋" w:hAnsi="仿宋" w:eastAsia="仿宋" w:cs="仿宋_GB2312"/>
          <w:color w:val="000000"/>
          <w:sz w:val="32"/>
          <w:szCs w:val="32"/>
        </w:rPr>
        <w:t>为载体，提升数字赋能水平，推进电子商务与实体经济更深度融合。鼓励支持流通龙头企业和品牌电商企业向乡镇、村下沉，延长供应链，拓宽生产和销售渠道，鼓励开设线下展示营销店、体验示范店，实现线上线下协同发展。依托跨境电商综试区，着力打造跨境电商“新渠道、新主体、新品牌、新队伍和新空间”，加大对跨境电商拓市场支持力度。发展直播带货、社群电商等新模式，推动电商与乡村旅游、休闲农业等产业融合。到2025年，培育电商专业镇2个、电商专业村10个，规模以上（限上）企业电子商务普及率达70%以上。</w:t>
      </w:r>
    </w:p>
    <w:p>
      <w:pPr>
        <w:spacing w:line="520" w:lineRule="exact"/>
        <w:ind w:firstLine="643"/>
        <w:rPr>
          <w:rFonts w:ascii="仿宋" w:hAnsi="仿宋" w:eastAsia="仿宋" w:cs="仿宋_GB2312"/>
          <w:color w:val="000000"/>
          <w:sz w:val="32"/>
          <w:szCs w:val="32"/>
        </w:rPr>
      </w:pPr>
      <w:r>
        <w:rPr>
          <w:rFonts w:hint="eastAsia" w:ascii="仿宋" w:hAnsi="仿宋" w:eastAsia="仿宋" w:cs="仿宋"/>
          <w:b/>
          <w:bCs/>
          <w:sz w:val="32"/>
          <w:szCs w:val="32"/>
        </w:rPr>
        <w:t>2.打造浙闽赣边际电商中心。</w:t>
      </w:r>
      <w:r>
        <w:rPr>
          <w:rFonts w:hint="eastAsia" w:ascii="仿宋" w:hAnsi="仿宋" w:eastAsia="仿宋" w:cs="仿宋_GB2312"/>
          <w:color w:val="000000"/>
          <w:sz w:val="32"/>
          <w:szCs w:val="32"/>
        </w:rPr>
        <w:t>加快推进龙泉市综合电商中心项目建设，项目涵盖电商总部经济大楼、电商物流仓储中心、公用型保税仓库、电商会展、直播中心等多个功能版块，建成后将有效实现龙泉与浦城、松溪、广丰等浙闽赣周边城市的发展联动、经济互动、要素流动，形成浙闽赣三省边际中心电商新城，助力全市新型工业化、新型城镇化建设。建成后入驻电商企业500家以上，实现年网络零售额30亿元以上。</w:t>
      </w:r>
    </w:p>
    <w:p>
      <w:pPr>
        <w:widowControl/>
        <w:snapToGrid w:val="0"/>
        <w:spacing w:line="520" w:lineRule="exact"/>
        <w:ind w:firstLine="643" w:firstLineChars="0"/>
        <w:outlineLvl w:val="2"/>
        <w:rPr>
          <w:rFonts w:ascii="仿宋" w:hAnsi="仿宋" w:eastAsia="仿宋" w:cs="仿宋"/>
          <w:sz w:val="32"/>
          <w:szCs w:val="32"/>
        </w:rPr>
      </w:pPr>
      <w:r>
        <w:rPr>
          <w:rFonts w:hint="eastAsia" w:ascii="仿宋" w:hAnsi="仿宋" w:eastAsia="仿宋" w:cs="仿宋"/>
          <w:b/>
          <w:bCs/>
          <w:sz w:val="32"/>
          <w:szCs w:val="32"/>
        </w:rPr>
        <w:t>3.升级特色电商平台。</w:t>
      </w:r>
      <w:r>
        <w:rPr>
          <w:rFonts w:hint="eastAsia" w:ascii="仿宋" w:hAnsi="仿宋" w:eastAsia="仿宋" w:cs="仿宋_GB2312"/>
          <w:color w:val="000000"/>
          <w:sz w:val="32"/>
          <w:szCs w:val="32"/>
        </w:rPr>
        <w:t>聚焦竹木、剑瓷、农产品三大特色产业数字贸易，推进龙泉青瓷宝剑商城平台、龙泉竹木产业数字化平台、农产品供销e城平台升级提升。推动四大特色产业产品线上口碑培育，完善平台营销配套服务，畅通营销渠道，形成平台聚集优势，鼓励支持中小商家入驻平台，合力推动特色产品数字化贸易。到2025年，实现青瓷宝剑、农产品、竹木制品等龙泉特色产品销售额超30亿元。</w:t>
      </w:r>
    </w:p>
    <w:p>
      <w:pPr>
        <w:pStyle w:val="53"/>
        <w:spacing w:line="520" w:lineRule="exact"/>
      </w:pPr>
      <w:bookmarkStart w:id="39" w:name="_Toc7267"/>
      <w:r>
        <w:rPr>
          <w:rFonts w:hint="eastAsia"/>
        </w:rPr>
        <w:t>（三）优化国际贸易体系，推动外贸高质量发展</w:t>
      </w:r>
      <w:bookmarkEnd w:id="39"/>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 w:hAnsi="仿宋" w:eastAsia="仿宋" w:cs="仿宋_GB2312"/>
          <w:b/>
          <w:bCs/>
          <w:color w:val="000000"/>
          <w:sz w:val="32"/>
          <w:szCs w:val="32"/>
        </w:rPr>
        <w:t>1.强化提升主导产业。</w:t>
      </w:r>
      <w:r>
        <w:rPr>
          <w:rFonts w:hint="eastAsia" w:ascii="仿宋" w:hAnsi="仿宋" w:eastAsia="仿宋" w:cs="仿宋_GB2312"/>
          <w:color w:val="000000"/>
          <w:sz w:val="32"/>
          <w:szCs w:val="32"/>
        </w:rPr>
        <w:t>加快外贸出口主导产业提升发展，聚焦重点企业、优势产业，加快形成机械产品出口为主，竹木制品、不锈钢出口稳步发展的外贸体系。深入实施国家级汽车零部件外贸转型升级</w:t>
      </w:r>
      <w:r>
        <w:rPr>
          <w:rFonts w:hint="eastAsia" w:ascii="仿宋" w:hAnsi="仿宋" w:eastAsia="仿宋" w:cs="仿宋_GB2312"/>
          <w:color w:val="000000"/>
          <w:sz w:val="32"/>
          <w:szCs w:val="32"/>
          <w:lang w:eastAsia="zh-CN"/>
        </w:rPr>
        <w:t>基地</w:t>
      </w:r>
      <w:r>
        <w:rPr>
          <w:rFonts w:hint="eastAsia" w:ascii="仿宋" w:hAnsi="仿宋" w:eastAsia="仿宋" w:cs="仿宋_GB2312"/>
          <w:color w:val="000000"/>
          <w:sz w:val="32"/>
          <w:szCs w:val="32"/>
        </w:rPr>
        <w:t>、汽车空调产业全省现代服务业与先进制造业深度融合试点，推动传统汽车空调零部件出口向新能源汽车、大数据机房用冷凝设备等领域拓展，壮大汽车零部件出口规模；加快竹木制品产业转型升级，提升龙泉竹木制品设计水平、工艺水平，提高出口产品附加值；加快不锈钢行业综合改造提升，引导产业向加工精深化、</w:t>
      </w:r>
      <w:r>
        <w:rPr>
          <w:rFonts w:hint="eastAsia" w:ascii="仿宋" w:hAnsi="仿宋" w:eastAsia="仿宋" w:cs="仿宋_GB2312"/>
          <w:color w:val="000000"/>
          <w:sz w:val="32"/>
          <w:szCs w:val="32"/>
          <w:lang w:eastAsia="zh-CN"/>
        </w:rPr>
        <w:t>产品</w:t>
      </w:r>
      <w:r>
        <w:rPr>
          <w:rFonts w:hint="eastAsia" w:ascii="仿宋" w:hAnsi="仿宋" w:eastAsia="仿宋" w:cs="仿宋_GB2312"/>
          <w:color w:val="000000"/>
          <w:sz w:val="32"/>
          <w:szCs w:val="32"/>
        </w:rPr>
        <w:t>高端化发展，增强产品国际竞争力。</w:t>
      </w:r>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 w:hAnsi="仿宋" w:eastAsia="仿宋" w:cs="仿宋_GB2312"/>
          <w:b/>
          <w:bCs/>
          <w:color w:val="000000"/>
          <w:sz w:val="32"/>
          <w:szCs w:val="32"/>
        </w:rPr>
        <w:t>2.深化培育外贸主体。</w:t>
      </w:r>
      <w:r>
        <w:rPr>
          <w:rFonts w:hint="eastAsia" w:ascii="仿宋" w:hAnsi="仿宋" w:eastAsia="仿宋" w:cs="仿宋"/>
          <w:sz w:val="32"/>
          <w:szCs w:val="32"/>
        </w:rPr>
        <w:t>聚焦优势产</w:t>
      </w:r>
      <w:r>
        <w:rPr>
          <w:rFonts w:hint="eastAsia" w:ascii="仿宋" w:hAnsi="仿宋" w:eastAsia="仿宋" w:cs="仿宋_GB2312"/>
          <w:color w:val="000000"/>
          <w:sz w:val="32"/>
          <w:szCs w:val="32"/>
        </w:rPr>
        <w:t>业</w:t>
      </w:r>
      <w:r>
        <w:rPr>
          <w:rFonts w:hint="eastAsia" w:ascii="仿宋" w:hAnsi="仿宋" w:eastAsia="仿宋" w:cs="仿宋"/>
          <w:sz w:val="32"/>
          <w:szCs w:val="32"/>
        </w:rPr>
        <w:t>和重点企业</w:t>
      </w:r>
      <w:r>
        <w:rPr>
          <w:rFonts w:hint="eastAsia" w:ascii="仿宋" w:hAnsi="仿宋" w:eastAsia="仿宋" w:cs="仿宋_GB2312"/>
          <w:color w:val="000000"/>
          <w:sz w:val="32"/>
          <w:szCs w:val="32"/>
        </w:rPr>
        <w:t>，支持做大做强一批大型外贸龙头骨干企业</w:t>
      </w:r>
      <w:r>
        <w:rPr>
          <w:rFonts w:ascii="仿宋" w:hAnsi="仿宋" w:eastAsia="仿宋" w:cs="仿宋_GB2312"/>
          <w:color w:val="000000"/>
          <w:sz w:val="32"/>
          <w:szCs w:val="32"/>
        </w:rPr>
        <w:t>；</w:t>
      </w:r>
      <w:r>
        <w:rPr>
          <w:rFonts w:hint="eastAsia" w:ascii="仿宋" w:hAnsi="仿宋" w:eastAsia="仿宋" w:cs="仿宋_GB2312"/>
          <w:color w:val="000000"/>
          <w:sz w:val="32"/>
          <w:szCs w:val="32"/>
        </w:rPr>
        <w:t>开展外贸企业成长培育计划</w:t>
      </w:r>
      <w:r>
        <w:rPr>
          <w:rFonts w:ascii="仿宋" w:hAnsi="仿宋" w:eastAsia="仿宋" w:cs="仿宋_GB2312"/>
          <w:color w:val="000000"/>
          <w:sz w:val="32"/>
          <w:szCs w:val="32"/>
        </w:rPr>
        <w:t>，</w:t>
      </w:r>
      <w:r>
        <w:rPr>
          <w:rFonts w:hint="eastAsia" w:ascii="仿宋" w:hAnsi="仿宋" w:eastAsia="仿宋" w:cs="仿宋_GB2312"/>
          <w:color w:val="000000"/>
          <w:sz w:val="32"/>
          <w:szCs w:val="32"/>
        </w:rPr>
        <w:t>引进和培育优质外贸企业</w:t>
      </w:r>
      <w:r>
        <w:rPr>
          <w:rFonts w:ascii="仿宋" w:hAnsi="仿宋" w:eastAsia="仿宋" w:cs="仿宋_GB2312"/>
          <w:color w:val="000000"/>
          <w:sz w:val="32"/>
          <w:szCs w:val="32"/>
        </w:rPr>
        <w:t>，</w:t>
      </w:r>
      <w:r>
        <w:rPr>
          <w:rFonts w:hint="eastAsia" w:ascii="仿宋" w:hAnsi="仿宋" w:eastAsia="仿宋" w:cs="仿宋"/>
          <w:sz w:val="32"/>
          <w:szCs w:val="32"/>
        </w:rPr>
        <w:t>孵化一批创新能力强、成长潜力大、商业模式新的外贸中小企业</w:t>
      </w:r>
      <w:r>
        <w:rPr>
          <w:rFonts w:hint="eastAsia" w:ascii="仿宋" w:hAnsi="仿宋" w:eastAsia="仿宋" w:cs="仿宋_GB2312"/>
          <w:color w:val="000000"/>
          <w:sz w:val="32"/>
          <w:szCs w:val="32"/>
        </w:rPr>
        <w:t>。发挥行业主管部门、商协会的作用，建链补链延链强链，提升汽配、竹木制品、不锈钢等特色产业和专业市场的国际化经营能力</w:t>
      </w:r>
      <w:r>
        <w:rPr>
          <w:rFonts w:ascii="仿宋" w:hAnsi="仿宋" w:eastAsia="仿宋" w:cs="仿宋_GB2312"/>
          <w:color w:val="000000"/>
          <w:sz w:val="32"/>
          <w:szCs w:val="32"/>
        </w:rPr>
        <w:t>。</w:t>
      </w:r>
      <w:r>
        <w:rPr>
          <w:rFonts w:hint="eastAsia" w:ascii="仿宋" w:hAnsi="仿宋" w:eastAsia="仿宋" w:cs="仿宋_GB2312"/>
          <w:color w:val="000000"/>
          <w:sz w:val="32"/>
          <w:szCs w:val="32"/>
        </w:rPr>
        <w:t>到2025年，力争培育有出口实绩企业150家以上，年出口额5000万美元以上企业5家以上，1000万美元以上企业25家以上。</w:t>
      </w:r>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_GB2312" w:hAnsi="仿宋_GB2312" w:eastAsia="仿宋_GB2312" w:cs="仿宋_GB2312"/>
          <w:b/>
          <w:bCs/>
          <w:sz w:val="32"/>
          <w:szCs w:val="32"/>
        </w:rPr>
        <w:t>3.持续拓展国际市场。</w:t>
      </w:r>
      <w:bookmarkStart w:id="40" w:name="_Toc21021"/>
      <w:r>
        <w:rPr>
          <w:rFonts w:hint="eastAsia" w:ascii="仿宋" w:hAnsi="仿宋" w:eastAsia="仿宋" w:cs="仿宋_GB2312"/>
          <w:color w:val="000000"/>
          <w:sz w:val="32"/>
          <w:szCs w:val="32"/>
        </w:rPr>
        <w:t>推进国际市场多元化，稳固美国、欧盟等传统市场，大力拓展“一带一路”沿线国家及RCEP区域新兴市场。按照“应展尽展，全力促展”原则，组织企业参加境内外各类国际性展会，扩大以展带销成效；引导企业开展数字化营销</w:t>
      </w:r>
      <w:r>
        <w:rPr>
          <w:rFonts w:ascii="仿宋" w:hAnsi="仿宋" w:eastAsia="仿宋" w:cs="仿宋_GB2312"/>
          <w:color w:val="000000"/>
          <w:sz w:val="32"/>
          <w:szCs w:val="32"/>
        </w:rPr>
        <w:t>，</w:t>
      </w:r>
      <w:r>
        <w:rPr>
          <w:rFonts w:hint="eastAsia" w:ascii="仿宋" w:hAnsi="仿宋" w:eastAsia="仿宋" w:cs="仿宋_GB2312"/>
          <w:color w:val="000000"/>
          <w:sz w:val="32"/>
          <w:szCs w:val="32"/>
        </w:rPr>
        <w:t>通过“网上参展”</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线上拓市”等新技术、新渠道开拓国际市场；鼓励企业通过设立境外分支机构、贸易公司、海外仓等方式加强国际营销网络建设，重点推动出口名牌企业加快境外营销网络布点，进一步降低运营成本、提高交货效率。鼓励外贸企业加强品牌培育和运营，打造“龙泉市汽车空调”等区域性出口品牌</w:t>
      </w:r>
      <w:r>
        <w:rPr>
          <w:rFonts w:ascii="仿宋" w:hAnsi="仿宋" w:eastAsia="仿宋" w:cs="仿宋_GB2312"/>
          <w:color w:val="000000"/>
          <w:sz w:val="32"/>
          <w:szCs w:val="32"/>
        </w:rPr>
        <w:t>。</w:t>
      </w:r>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_GB2312" w:hAnsi="仿宋_GB2312" w:eastAsia="仿宋_GB2312" w:cs="仿宋_GB2312"/>
          <w:b/>
          <w:bCs/>
          <w:sz w:val="32"/>
          <w:szCs w:val="32"/>
        </w:rPr>
        <w:t>4.多元发展贸易业态</w:t>
      </w:r>
      <w:bookmarkEnd w:id="40"/>
      <w:r>
        <w:rPr>
          <w:rFonts w:hint="eastAsia" w:ascii="仿宋_GB2312" w:hAnsi="仿宋_GB2312" w:eastAsia="仿宋_GB2312" w:cs="仿宋_GB2312"/>
          <w:sz w:val="32"/>
          <w:szCs w:val="32"/>
        </w:rPr>
        <w:t>。</w:t>
      </w:r>
      <w:bookmarkStart w:id="41" w:name="_Toc21107"/>
      <w:r>
        <w:rPr>
          <w:rFonts w:hint="eastAsia" w:ascii="仿宋" w:hAnsi="仿宋" w:eastAsia="仿宋" w:cs="仿宋_GB2312"/>
          <w:color w:val="000000"/>
          <w:sz w:val="32"/>
          <w:szCs w:val="32"/>
        </w:rPr>
        <w:t>以数字服务出口为导向，大力发展数字贸易，推动数字技术赋能传统货物贸易、服务贸易。支持外贸企业借助跨境电商拓展市场，深耕“9710”、“9810”出口模式；支持外贸企业向线上销售转型，鼓励外贸企业借助亚马逊、速卖通等国际主要平台开展跨境电商业务，畅通宝剑跨境电商国际物流通道；推动服务贸易发展，加快信息服务、文化贸易、技术服务贸易发展；招优育强外贸综合服务主体，发挥外综服企业带动中小微生产企业出口的优势。</w:t>
      </w:r>
    </w:p>
    <w:p>
      <w:pPr>
        <w:widowControl/>
        <w:snapToGrid w:val="0"/>
        <w:spacing w:line="520" w:lineRule="exact"/>
        <w:ind w:firstLine="643" w:firstLineChars="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5.积极扩大优质进口</w:t>
      </w:r>
      <w:bookmarkEnd w:id="41"/>
      <w:r>
        <w:rPr>
          <w:rFonts w:hint="eastAsia" w:ascii="仿宋_GB2312" w:hAnsi="仿宋_GB2312" w:eastAsia="仿宋_GB2312" w:cs="仿宋_GB2312"/>
          <w:b/>
          <w:bCs/>
          <w:sz w:val="32"/>
          <w:szCs w:val="32"/>
        </w:rPr>
        <w:t>。</w:t>
      </w:r>
      <w:bookmarkStart w:id="42" w:name="_Toc11496"/>
      <w:bookmarkStart w:id="43" w:name="_Toc4916"/>
      <w:r>
        <w:rPr>
          <w:rFonts w:hint="eastAsia" w:ascii="仿宋" w:hAnsi="仿宋" w:eastAsia="仿宋" w:cs="仿宋_GB2312"/>
          <w:color w:val="000000"/>
          <w:sz w:val="32"/>
          <w:szCs w:val="32"/>
        </w:rPr>
        <w:t>通过进口补助、税收减免、融资贴息等促进政策，鼓励企业扩大先进技术及设备、关键零部件进口，提高进口对创新驱动发展的贡献度；积极组织企业参与中国国际进口博览会，增加优质消费品进口，鼓励支持医疗康复、养老护理等民生产品进口，满足人民日益增长的对高品质生活的追求。谋划建设公共保税区，大力推进保税加工、保税物流、保税服务，推进进出口协同发展。到2025年，实现进口额年</w:t>
      </w:r>
      <w:r>
        <w:rPr>
          <w:rFonts w:hint="eastAsia" w:ascii="仿宋_GB2312" w:hAnsi="仿宋_GB2312" w:eastAsia="仿宋_GB2312" w:cs="仿宋_GB2312"/>
          <w:sz w:val="32"/>
          <w:szCs w:val="32"/>
        </w:rPr>
        <w:t>均增长10%以上。</w:t>
      </w:r>
    </w:p>
    <w:p>
      <w:pPr>
        <w:pStyle w:val="53"/>
        <w:spacing w:line="520" w:lineRule="exact"/>
        <w:rPr>
          <w:rFonts w:cs="Times New Roman"/>
        </w:rPr>
      </w:pPr>
      <w:bookmarkStart w:id="44" w:name="_Toc251"/>
      <w:r>
        <w:rPr>
          <w:rFonts w:hint="eastAsia" w:cs="Times New Roman"/>
        </w:rPr>
        <w:t>（四）</w:t>
      </w:r>
      <w:bookmarkEnd w:id="42"/>
      <w:bookmarkEnd w:id="43"/>
      <w:r>
        <w:rPr>
          <w:rFonts w:hint="eastAsia" w:cs="Times New Roman"/>
        </w:rPr>
        <w:t>提高双向投资效能，促进高层次国际合作</w:t>
      </w:r>
      <w:bookmarkEnd w:id="44"/>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 w:hAnsi="仿宋" w:eastAsia="仿宋" w:cs="仿宋"/>
          <w:b/>
          <w:bCs/>
          <w:sz w:val="32"/>
          <w:szCs w:val="32"/>
        </w:rPr>
        <w:t>1.促进高质量外资集聚。</w:t>
      </w:r>
      <w:r>
        <w:rPr>
          <w:rFonts w:hint="eastAsia" w:ascii="仿宋" w:hAnsi="仿宋" w:eastAsia="仿宋" w:cs="仿宋_GB2312"/>
          <w:color w:val="000000"/>
          <w:sz w:val="32"/>
          <w:szCs w:val="32"/>
        </w:rPr>
        <w:t>依托现有“1+3+X”平台的优质产业战略定位，围绕</w:t>
      </w:r>
      <w:r>
        <w:rPr>
          <w:rFonts w:hint="eastAsia" w:ascii="仿宋" w:hAnsi="仿宋" w:eastAsia="仿宋" w:cs="仿宋_GB2312"/>
          <w:color w:val="000000"/>
          <w:sz w:val="32"/>
          <w:szCs w:val="32"/>
          <w:lang w:eastAsia="zh-CN"/>
        </w:rPr>
        <w:t>为</w:t>
      </w:r>
      <w:r>
        <w:rPr>
          <w:rFonts w:hint="eastAsia" w:ascii="仿宋" w:hAnsi="仿宋" w:eastAsia="仿宋" w:cs="仿宋_GB2312"/>
          <w:color w:val="000000"/>
          <w:sz w:val="32"/>
          <w:szCs w:val="32"/>
        </w:rPr>
        <w:t>精密制造、时尚产业、健康医药三大主导产业</w:t>
      </w:r>
      <w:r>
        <w:rPr>
          <w:rFonts w:hint="eastAsia" w:ascii="仿宋" w:hAnsi="仿宋" w:eastAsia="仿宋" w:cs="仿宋_GB2312"/>
          <w:color w:val="000000"/>
          <w:sz w:val="32"/>
          <w:szCs w:val="32"/>
          <w:lang w:eastAsia="zh-CN"/>
        </w:rPr>
        <w:t>注入</w:t>
      </w:r>
      <w:r>
        <w:rPr>
          <w:rFonts w:hint="eastAsia" w:ascii="仿宋" w:hAnsi="仿宋" w:eastAsia="仿宋" w:cs="仿宋_GB2312"/>
          <w:color w:val="000000"/>
          <w:sz w:val="32"/>
          <w:szCs w:val="32"/>
        </w:rPr>
        <w:t>外资赋能</w:t>
      </w:r>
      <w:r>
        <w:rPr>
          <w:rFonts w:hint="eastAsia" w:ascii="仿宋" w:hAnsi="仿宋" w:eastAsia="仿宋" w:cs="仿宋_GB2312"/>
          <w:color w:val="000000"/>
          <w:sz w:val="32"/>
          <w:szCs w:val="32"/>
          <w:lang w:eastAsia="zh-CN"/>
        </w:rPr>
        <w:t>，发挥开发区引进外资主战场作用</w:t>
      </w:r>
      <w:r>
        <w:rPr>
          <w:rFonts w:hint="eastAsia" w:ascii="仿宋" w:hAnsi="仿宋" w:eastAsia="仿宋" w:cs="仿宋_GB2312"/>
          <w:color w:val="000000"/>
          <w:sz w:val="32"/>
          <w:szCs w:val="32"/>
        </w:rPr>
        <w:t>。加大农业、文化旅游、医疗养老等一产和三产外资招引力度。聚焦招引具有全球配置资源的独特优势的“链长”公司，助力全市优势产业的补链、固链、强链、扩链，提升产业链供应链现代化水平。</w:t>
      </w:r>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 w:hAnsi="仿宋" w:eastAsia="仿宋" w:cs="仿宋"/>
          <w:b/>
          <w:bCs/>
          <w:sz w:val="32"/>
          <w:szCs w:val="32"/>
        </w:rPr>
        <w:t>2.建立精准产业招商体系。</w:t>
      </w:r>
      <w:r>
        <w:rPr>
          <w:rFonts w:hint="eastAsia" w:ascii="仿宋" w:hAnsi="仿宋" w:eastAsia="仿宋" w:cs="仿宋_GB2312"/>
          <w:color w:val="000000"/>
          <w:sz w:val="32"/>
          <w:szCs w:val="32"/>
        </w:rPr>
        <w:t>推动全市招商力量的整合，建立内资外资统一的招商引资考核体系。编制产业招商路线图，建立项目信息共享机制。充分用好浙洽会、厦洽会、进博会等传统投资说明会，探索开拓新的投资推介路径。利用好浙江国际投资单一窗口等进行“云招商”，加强与省商务厅海外商务中心、山海协作单位合作招商，探索与中介机构合作进行中介招商。</w:t>
      </w:r>
      <w:r>
        <w:rPr>
          <w:rFonts w:hint="eastAsia" w:ascii="仿宋" w:hAnsi="仿宋" w:eastAsia="仿宋" w:cs="仿宋_GB2312"/>
          <w:color w:val="000000"/>
          <w:sz w:val="32"/>
          <w:szCs w:val="32"/>
          <w:lang w:eastAsia="zh-CN"/>
        </w:rPr>
        <w:t>以更大力度引项目，突出产业类项目招引，紧盯央企国企、上市公司、行业龙头，强化产业链招引、大项目招引，着力引进一批科技型、税源型、链主型项目，发展壮大“回归经济”。</w:t>
      </w:r>
    </w:p>
    <w:p>
      <w:pPr>
        <w:widowControl/>
        <w:snapToGrid w:val="0"/>
        <w:spacing w:line="520" w:lineRule="exact"/>
        <w:ind w:firstLine="643" w:firstLineChars="0"/>
        <w:outlineLvl w:val="2"/>
        <w:rPr>
          <w:rFonts w:ascii="仿宋" w:hAnsi="仿宋" w:eastAsia="仿宋" w:cs="仿宋_GB2312"/>
          <w:color w:val="000000"/>
          <w:sz w:val="32"/>
          <w:szCs w:val="32"/>
        </w:rPr>
      </w:pPr>
      <w:r>
        <w:rPr>
          <w:rFonts w:hint="eastAsia" w:ascii="仿宋" w:hAnsi="仿宋" w:eastAsia="仿宋" w:cs="仿宋"/>
          <w:b/>
          <w:bCs/>
          <w:sz w:val="32"/>
          <w:szCs w:val="32"/>
        </w:rPr>
        <w:t>3.推动企业积极稳健“走出去”。</w:t>
      </w:r>
      <w:r>
        <w:rPr>
          <w:rFonts w:hint="eastAsia" w:ascii="仿宋" w:hAnsi="仿宋" w:eastAsia="仿宋" w:cs="仿宋_GB2312"/>
          <w:color w:val="000000"/>
          <w:sz w:val="32"/>
          <w:szCs w:val="32"/>
        </w:rPr>
        <w:t>引导和规范境外投资方向，鼓励技术和服务领域的对外投资；推动企业加强与“一带一路”沿线国家的产业链、供应链合作，获取资源、技术、品牌和销售渠道，完善产业链布局。为企业提供税务、法律、劳动、外汇等方面服务，指导企业安全有序开展境外投资。重点指导汽车空调配件、工程机械企业充分利用“一带一路”捷克站、迪拜站等海外枢纽和境外经贸合作区，拓展境外营销网络，布局海外生产基地。</w:t>
      </w:r>
    </w:p>
    <w:p>
      <w:pPr>
        <w:pStyle w:val="53"/>
        <w:spacing w:line="520" w:lineRule="exact"/>
        <w:rPr>
          <w:rFonts w:cs="Times New Roman"/>
        </w:rPr>
      </w:pPr>
      <w:bookmarkStart w:id="45" w:name="_Toc22618"/>
      <w:r>
        <w:rPr>
          <w:rFonts w:hint="eastAsia" w:cs="Times New Roman"/>
        </w:rPr>
        <w:t>（五）提升开放平台能级，构建对外开放新高地</w:t>
      </w:r>
      <w:bookmarkEnd w:id="45"/>
    </w:p>
    <w:p>
      <w:pPr>
        <w:widowControl/>
        <w:snapToGrid w:val="0"/>
        <w:spacing w:line="520" w:lineRule="exact"/>
        <w:ind w:firstLine="643" w:firstLineChars="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1.充分发挥开发区主战场作用。</w:t>
      </w:r>
      <w:r>
        <w:rPr>
          <w:rFonts w:hint="eastAsia" w:ascii="仿宋" w:hAnsi="仿宋" w:eastAsia="仿宋" w:cs="仿宋_GB2312"/>
          <w:color w:val="000000"/>
          <w:sz w:val="32"/>
          <w:szCs w:val="32"/>
        </w:rPr>
        <w:t>围绕“1+3+X”生态工业发展空间格局，推进外向型经济发展平台建设，充分发挥开发区外贸、外资主平台、主阵地、主战场的作用，扎实推进汽车空调零部件国家外贸转型升级基地建设。到2025年，开发区外贸进出口额占全市比重达90%以上，引进外资占全市比重达60%以上</w:t>
      </w:r>
      <w:r>
        <w:rPr>
          <w:rFonts w:hint="eastAsia" w:ascii="仿宋_GB2312" w:hAnsi="仿宋_GB2312" w:eastAsia="仿宋_GB2312" w:cs="仿宋_GB2312"/>
          <w:sz w:val="32"/>
          <w:szCs w:val="32"/>
        </w:rPr>
        <w:t>。</w:t>
      </w:r>
    </w:p>
    <w:p>
      <w:pPr>
        <w:widowControl/>
        <w:snapToGrid w:val="0"/>
        <w:spacing w:line="520" w:lineRule="exact"/>
        <w:ind w:firstLine="643" w:firstLineChars="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2.域内拓展再谋一个开发区。</w:t>
      </w:r>
      <w:r>
        <w:rPr>
          <w:rFonts w:hint="eastAsia" w:ascii="仿宋_GB2312" w:hAnsi="仿宋_GB2312" w:eastAsia="仿宋_GB2312" w:cs="仿宋_GB2312"/>
          <w:sz w:val="32"/>
          <w:szCs w:val="32"/>
        </w:rPr>
        <w:t>大力实施名城扩容“挺进西南”行动，加快推进产品价值实现机制创新平台建设。</w:t>
      </w:r>
      <w:r>
        <w:rPr>
          <w:rFonts w:hint="eastAsia" w:eastAsia="仿宋_GB2312" w:cs="Times New Roman"/>
          <w:sz w:val="32"/>
          <w:szCs w:val="32"/>
        </w:rPr>
        <w:t>以</w:t>
      </w:r>
      <w:r>
        <w:rPr>
          <w:rFonts w:hint="eastAsia" w:ascii="仿宋_GB2312" w:hAnsi="仿宋_GB2312" w:eastAsia="仿宋_GB2312" w:cs="仿宋_GB2312"/>
          <w:sz w:val="32"/>
          <w:szCs w:val="32"/>
        </w:rPr>
        <w:t>省开发区产业链“链长制”试点为契机，</w:t>
      </w:r>
      <w:r>
        <w:rPr>
          <w:rFonts w:hint="eastAsia" w:eastAsia="仿宋_GB2312" w:cs="Times New Roman"/>
          <w:sz w:val="32"/>
          <w:szCs w:val="32"/>
        </w:rPr>
        <w:t>创建五金汽配产业“链长制”，通过产业培育，进一步提高产业集聚度。</w:t>
      </w:r>
      <w:r>
        <w:rPr>
          <w:rFonts w:hint="eastAsia" w:ascii="仿宋_GB2312" w:hAnsi="仿宋_GB2312" w:eastAsia="仿宋_GB2312" w:cs="仿宋_GB2312"/>
          <w:sz w:val="32"/>
          <w:szCs w:val="32"/>
        </w:rPr>
        <w:t>系统谋定“十四五”生态工业空间拓展计划，联动推进小微企业园建设，到2025年，力争新拓展工业空间7500亩以上，新增工业供地5000亩以上，建成小微企业园22个。</w:t>
      </w:r>
    </w:p>
    <w:p>
      <w:pPr>
        <w:widowControl/>
        <w:snapToGrid w:val="0"/>
        <w:spacing w:line="520" w:lineRule="exact"/>
        <w:ind w:firstLine="643" w:firstLineChars="0"/>
        <w:outlineLvl w:val="2"/>
        <w:rPr>
          <w:rFonts w:ascii="仿宋" w:hAnsi="仿宋" w:eastAsia="仿宋" w:cs="仿宋"/>
          <w:b/>
          <w:bCs/>
          <w:sz w:val="32"/>
          <w:szCs w:val="32"/>
        </w:rPr>
      </w:pPr>
      <w:r>
        <w:rPr>
          <w:rFonts w:hint="eastAsia" w:ascii="仿宋_GB2312" w:hAnsi="仿宋_GB2312" w:eastAsia="仿宋_GB2312" w:cs="仿宋_GB2312"/>
          <w:b/>
          <w:bCs/>
          <w:sz w:val="32"/>
          <w:szCs w:val="32"/>
        </w:rPr>
        <w:t>3.</w:t>
      </w:r>
      <w:r>
        <w:rPr>
          <w:rFonts w:hint="eastAsia" w:ascii="仿宋" w:hAnsi="仿宋" w:eastAsia="仿宋" w:cs="仿宋"/>
          <w:b/>
          <w:bCs/>
          <w:sz w:val="32"/>
          <w:szCs w:val="32"/>
        </w:rPr>
        <w:t>域内整合提升一个开发区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大力推进平台体制机制创新，按照“五统三分”原则，加快推动经济开发区和八都、安仁、查田三个乡镇功能区整合优化提升，切实发挥好开发区工业发展主平台、主战场、主阵地作用。要下大决心、下狠功夫，统筹打好闲置低效用地清理、“亩均论英雄”改革和“低散乱”企业整治等“组合拳”，</w:t>
      </w:r>
      <w:r>
        <w:rPr>
          <w:rFonts w:eastAsia="仿宋_GB2312" w:cs="Times New Roman"/>
          <w:color w:val="000000"/>
          <w:sz w:val="32"/>
          <w:szCs w:val="32"/>
        </w:rPr>
        <w:t>围绕</w:t>
      </w:r>
      <w:r>
        <w:rPr>
          <w:rFonts w:eastAsia="仿宋_GB2312" w:cs="Times New Roman"/>
          <w:sz w:val="32"/>
          <w:szCs w:val="32"/>
        </w:rPr>
        <w:t>国际化、特色化、数字化</w:t>
      </w:r>
      <w:r>
        <w:rPr>
          <w:rFonts w:hint="eastAsia" w:eastAsia="仿宋_GB2312" w:cs="Times New Roman"/>
          <w:sz w:val="32"/>
          <w:szCs w:val="32"/>
        </w:rPr>
        <w:t>，</w:t>
      </w:r>
      <w:r>
        <w:rPr>
          <w:rFonts w:eastAsia="仿宋_GB2312" w:cs="Times New Roman"/>
          <w:color w:val="000000"/>
          <w:sz w:val="32"/>
          <w:szCs w:val="32"/>
        </w:rPr>
        <w:t>深化美丽园区建设</w:t>
      </w:r>
      <w:r>
        <w:rPr>
          <w:rFonts w:hint="eastAsia" w:eastAsia="仿宋_GB2312" w:cs="Times New Roman"/>
          <w:color w:val="000000"/>
          <w:sz w:val="32"/>
          <w:szCs w:val="32"/>
        </w:rPr>
        <w:t>。</w:t>
      </w:r>
      <w:r>
        <w:rPr>
          <w:rFonts w:hint="eastAsia" w:ascii="仿宋_GB2312" w:hAnsi="仿宋_GB2312" w:eastAsia="仿宋_GB2312" w:cs="仿宋_GB2312"/>
          <w:sz w:val="32"/>
          <w:szCs w:val="32"/>
        </w:rPr>
        <w:t>到2025年力争盘活闲置低效用地3000亩以上</w:t>
      </w:r>
      <w:r>
        <w:rPr>
          <w:rFonts w:hint="eastAsia" w:ascii="仿宋" w:hAnsi="仿宋" w:eastAsia="仿宋" w:cs="仿宋"/>
          <w:b/>
          <w:bCs/>
          <w:sz w:val="32"/>
          <w:szCs w:val="32"/>
        </w:rPr>
        <w:t>。</w:t>
      </w:r>
    </w:p>
    <w:p>
      <w:pPr>
        <w:widowControl/>
        <w:snapToGrid w:val="0"/>
        <w:spacing w:line="520" w:lineRule="exact"/>
        <w:ind w:firstLine="643" w:firstLineChars="0"/>
        <w:outlineLvl w:val="2"/>
        <w:rPr>
          <w:rFonts w:ascii="仿宋_GB2312" w:hAnsi="仿宋_GB2312" w:eastAsia="仿宋_GB2312" w:cs="仿宋_GB2312"/>
          <w:spacing w:val="-4"/>
          <w:sz w:val="32"/>
          <w:szCs w:val="32"/>
        </w:rPr>
      </w:pPr>
      <w:r>
        <w:rPr>
          <w:rFonts w:hint="eastAsia" w:ascii="仿宋_GB2312" w:hAnsi="仿宋_GB2312" w:eastAsia="仿宋_GB2312" w:cs="仿宋_GB2312"/>
          <w:b/>
          <w:bCs/>
          <w:sz w:val="32"/>
          <w:szCs w:val="32"/>
        </w:rPr>
        <w:t>4.</w:t>
      </w:r>
      <w:r>
        <w:rPr>
          <w:rFonts w:hint="eastAsia" w:ascii="仿宋" w:hAnsi="仿宋" w:eastAsia="仿宋" w:cs="仿宋"/>
          <w:b/>
          <w:bCs/>
          <w:color w:val="000000"/>
          <w:sz w:val="32"/>
          <w:szCs w:val="32"/>
        </w:rPr>
        <w:t>域外合作共建一个开发区</w:t>
      </w:r>
      <w:r>
        <w:rPr>
          <w:rFonts w:hint="eastAsia" w:ascii="仿宋_GB2312" w:hAnsi="仿宋_GB2312" w:eastAsia="仿宋_GB2312" w:cs="仿宋_GB2312"/>
          <w:b/>
          <w:bCs/>
          <w:spacing w:val="-4"/>
          <w:sz w:val="32"/>
          <w:szCs w:val="32"/>
        </w:rPr>
        <w:t>。</w:t>
      </w:r>
      <w:r>
        <w:rPr>
          <w:rFonts w:hint="eastAsia" w:ascii="仿宋_GB2312" w:hAnsi="仿宋_GB2312" w:eastAsia="仿宋_GB2312" w:cs="仿宋_GB2312"/>
          <w:spacing w:val="-4"/>
          <w:sz w:val="32"/>
          <w:szCs w:val="32"/>
        </w:rPr>
        <w:t>用足用好全省支持山海协作“飞地”高质量建设与发展新政，加快推进萧山—龙泉科创园、平湖—龙泉产业园建设，积极招引运营奉贤—龙泉双创园、秀洲—龙泉智造园，推动1平方公里的生态补偿特别合作区尽快落地，携手打造山海融通共赢的发展共同体。</w:t>
      </w:r>
    </w:p>
    <w:p>
      <w:pPr>
        <w:widowControl/>
        <w:snapToGrid w:val="0"/>
        <w:spacing w:line="520" w:lineRule="exact"/>
        <w:ind w:firstLine="643" w:firstLineChars="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5.积极参与自贸区丽水联动创新区和丽水跨境电商综试区建设。</w:t>
      </w:r>
      <w:r>
        <w:rPr>
          <w:rFonts w:hint="eastAsia" w:ascii="仿宋_GB2312" w:hAnsi="仿宋_GB2312" w:eastAsia="仿宋_GB2312" w:cs="仿宋_GB2312"/>
          <w:sz w:val="32"/>
          <w:szCs w:val="32"/>
        </w:rPr>
        <w:t>推广各自贸试验区相关改革试点经验，重点复制推广政府职能转变、投资管理、贸易便利化等领域的制度创新成果。培育壮大生态产品价值实现市场主体，打造全球生态产品价值实现机制策源地。谋划建设共用型保税仓库、保税物流中心（A型）。指导传统企业开展跨境电商业务，组织一批企业通过阿里国际站、亚马逊等平台开展跨境电商，推动跨境电商产业集群建设，积极打造龙泉经典文创产业跨境电子商务集聚区。加强与外汇等部门协同，克服地域的限制，从经常项下便利跨境电商和离岸业务发展。争取成功申报跨境电商省级试点。</w:t>
      </w:r>
    </w:p>
    <w:p>
      <w:pPr>
        <w:pStyle w:val="53"/>
        <w:spacing w:line="520" w:lineRule="exact"/>
        <w:rPr>
          <w:rFonts w:cs="Times New Roman"/>
        </w:rPr>
      </w:pPr>
      <w:bookmarkStart w:id="46" w:name="_Toc29246"/>
      <w:r>
        <w:rPr>
          <w:rFonts w:hint="eastAsia" w:cs="Times New Roman"/>
        </w:rPr>
        <w:t>（六）坚持系统发展观念，构建商务服务新体系</w:t>
      </w:r>
      <w:bookmarkEnd w:id="46"/>
    </w:p>
    <w:p>
      <w:pPr>
        <w:spacing w:line="52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1.全面优化商贸发展服务环境。</w:t>
      </w:r>
      <w:r>
        <w:rPr>
          <w:rFonts w:hint="eastAsia" w:ascii="仿宋_GB2312" w:hAnsi="仿宋_GB2312" w:eastAsia="仿宋_GB2312" w:cs="仿宋_GB2312"/>
          <w:sz w:val="32"/>
          <w:szCs w:val="32"/>
        </w:rPr>
        <w:t>完善商务经济扶持政策体系，提升和优化商贸企业服务工作，为商务经济发展创造更好的政策和服务环境。用好用活用足各级商务扶持政策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充分发挥政策支持商务经济发展的效能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健全完善各部门多方位合作机制，切实提高服务企业能力。提升贸易投资自由化便利化水平，贯彻落实好外商投资市场准入负面清单制度。全力构建促消费长效机制，完善促进消费体制机制制度，加强统筹协调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形成政策合力。</w:t>
      </w:r>
    </w:p>
    <w:p>
      <w:pPr>
        <w:spacing w:line="520"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2.持续开展促进消费活动。</w:t>
      </w:r>
      <w:r>
        <w:rPr>
          <w:rFonts w:hint="eastAsia" w:ascii="仿宋_GB2312" w:hAnsi="仿宋_GB2312" w:eastAsia="仿宋_GB2312" w:cs="仿宋_GB2312"/>
          <w:sz w:val="32"/>
          <w:szCs w:val="32"/>
        </w:rPr>
        <w:t>持续唱响“浙里来消费”，积极参与省里“消费促进月”、“金秋购物节”二大品牌活动，形成线上线下融合的消费促进新格局；结合全市产业特色，举办世界青瓷大会，龙泉青瓷龙泉宝剑文化旅游节，老字号展销会等特色活动，营造浓厚促消费氛围；激活传统消费，用好上级政策，支持各乡镇街道开展各具特色的乡村漫游节，提振乡村住宿餐饮消费。深入开展夜间经济城市试点建设，鼓励主要商圈、特色商业街与文化、旅游、休闲等融合，适当延长营业时间。</w:t>
      </w:r>
    </w:p>
    <w:p>
      <w:pPr>
        <w:spacing w:line="520" w:lineRule="exact"/>
        <w:ind w:firstLine="643"/>
        <w:rPr>
          <w:rFonts w:ascii="仿宋_GB2312" w:hAnsi="仿宋_GB2312" w:eastAsia="仿宋_GB2312" w:cs="仿宋_GB2312"/>
          <w:sz w:val="32"/>
          <w:szCs w:val="32"/>
        </w:rPr>
      </w:pPr>
      <w:bookmarkStart w:id="47" w:name="_Toc8057"/>
      <w:r>
        <w:rPr>
          <w:rFonts w:hint="eastAsia" w:ascii="仿宋_GB2312" w:hAnsi="仿宋_GB2312" w:eastAsia="仿宋_GB2312" w:cs="仿宋_GB2312"/>
          <w:b/>
          <w:bCs/>
          <w:sz w:val="32"/>
          <w:szCs w:val="32"/>
        </w:rPr>
        <w:t>3.不断完善商务安全应急保障体系</w:t>
      </w:r>
      <w:bookmarkEnd w:id="4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强政企协调联动，共同保障生活必需品的生产、储备、调运和投放工作。完善重点生活必需品应急清单，逐步形成政府储备、商业储备与社会储备相结合的多元化应急救灾物资保障体系。健全全市应急物资共用共享和协调，选择市内大型超市、电商平台、公益性农贸市场、粮食加工企业作为生活必需品终端供给主体。加强应急保供体系日常演练，构建必需品应急投放网络，绘制调运流程图，确保紧急条件下的物资配送效率。</w:t>
      </w:r>
    </w:p>
    <w:p>
      <w:pPr>
        <w:spacing w:line="520" w:lineRule="exact"/>
        <w:ind w:firstLine="643"/>
        <w:jc w:val="left"/>
        <w:rPr>
          <w:rFonts w:ascii="仿宋" w:hAnsi="仿宋" w:eastAsia="仿宋" w:cs="仿宋"/>
          <w:sz w:val="32"/>
          <w:szCs w:val="32"/>
        </w:rPr>
      </w:pPr>
      <w:r>
        <w:rPr>
          <w:rFonts w:hint="eastAsia" w:ascii="仿宋" w:hAnsi="仿宋" w:eastAsia="仿宋" w:cs="仿宋"/>
          <w:b/>
          <w:bCs/>
          <w:sz w:val="32"/>
          <w:szCs w:val="32"/>
        </w:rPr>
        <w:t>4.加快健全商务运行预警机制。</w:t>
      </w:r>
      <w:r>
        <w:rPr>
          <w:rFonts w:hint="eastAsia" w:ascii="仿宋_GB2312" w:hAnsi="仿宋_GB2312" w:eastAsia="仿宋_GB2312" w:cs="仿宋_GB2312"/>
          <w:sz w:val="32"/>
          <w:szCs w:val="32"/>
        </w:rPr>
        <w:t>健全龙泉市商贸统计监测体系，</w:t>
      </w:r>
      <w:r>
        <w:rPr>
          <w:rFonts w:hint="eastAsia" w:ascii="仿宋" w:hAnsi="仿宋" w:eastAsia="仿宋" w:cs="仿宋"/>
          <w:sz w:val="32"/>
          <w:szCs w:val="32"/>
        </w:rPr>
        <w:t>着力做好“订单+清单”监测预警系统、生活必需品市场保供管理平台等商务领域数字化转型重点项目的应用和迭代。</w:t>
      </w:r>
      <w:r>
        <w:rPr>
          <w:rFonts w:ascii="仿宋_GB2312" w:hAnsi="仿宋_GB2312" w:eastAsia="仿宋_GB2312" w:cs="仿宋_GB2312"/>
          <w:sz w:val="32"/>
          <w:szCs w:val="32"/>
        </w:rPr>
        <w:t>加强消费统计监测，聚合各类平台企业消费数据，强化传统数据与大数据比对分析，及时反映消费现状和发展趋势，提高政策调控的前瞻性和有效性</w:t>
      </w:r>
      <w:r>
        <w:rPr>
          <w:rFonts w:hint="eastAsia" w:ascii="仿宋_GB2312" w:hAnsi="仿宋_GB2312" w:eastAsia="仿宋_GB2312" w:cs="仿宋_GB2312"/>
          <w:sz w:val="32"/>
          <w:szCs w:val="32"/>
        </w:rPr>
        <w:t>。</w:t>
      </w:r>
      <w:r>
        <w:rPr>
          <w:rFonts w:hint="eastAsia" w:ascii="仿宋" w:hAnsi="仿宋" w:eastAsia="仿宋" w:cs="仿宋"/>
          <w:sz w:val="32"/>
          <w:szCs w:val="32"/>
        </w:rPr>
        <w:t>加强对外贸易预警工作，督促2个省级对外贸易预警点做好风险预警和服务企业工作，稳定全市外贸“基本盘”。加强企业互通，利用协会等组织，开展外贸企业、外资企业互通服务模式，及时根据形势变化为企业提供预警和指导</w:t>
      </w:r>
      <w:r>
        <w:rPr>
          <w:rFonts w:hint="eastAsia" w:ascii="仿宋" w:hAnsi="仿宋" w:eastAsia="仿宋" w:cs="仿宋"/>
          <w:sz w:val="32"/>
          <w:szCs w:val="32"/>
          <w:lang w:eastAsia="zh-CN"/>
        </w:rPr>
        <w:t>，</w:t>
      </w:r>
      <w:r>
        <w:rPr>
          <w:rFonts w:hint="eastAsia" w:ascii="仿宋" w:hAnsi="仿宋" w:eastAsia="仿宋" w:cs="仿宋"/>
          <w:sz w:val="32"/>
          <w:szCs w:val="32"/>
        </w:rPr>
        <w:t>加强涉外法律服务，提升企业应对风险能力。</w:t>
      </w:r>
    </w:p>
    <w:p>
      <w:pPr>
        <w:pStyle w:val="52"/>
        <w:spacing w:line="520" w:lineRule="exact"/>
      </w:pPr>
      <w:bookmarkStart w:id="48" w:name="_Toc14241"/>
      <w:bookmarkStart w:id="49" w:name="_Toc19408"/>
      <w:bookmarkStart w:id="50" w:name="_Toc30271"/>
      <w:bookmarkStart w:id="51" w:name="_Toc2071"/>
      <w:bookmarkStart w:id="52" w:name="_Toc1581_WPSOffice_Level1"/>
      <w:bookmarkStart w:id="53" w:name="_Toc5100"/>
      <w:bookmarkStart w:id="54" w:name="_Toc4144_WPSOffice_Level1"/>
      <w:bookmarkStart w:id="55" w:name="_Toc9135_WPSOffice_Level1"/>
      <w:r>
        <w:rPr>
          <w:rFonts w:hint="eastAsia"/>
        </w:rPr>
        <w:t>五、保障措施</w:t>
      </w:r>
      <w:bookmarkEnd w:id="48"/>
      <w:bookmarkEnd w:id="49"/>
      <w:bookmarkEnd w:id="50"/>
      <w:bookmarkEnd w:id="51"/>
      <w:bookmarkEnd w:id="52"/>
      <w:bookmarkEnd w:id="53"/>
      <w:bookmarkEnd w:id="54"/>
      <w:bookmarkEnd w:id="55"/>
    </w:p>
    <w:p>
      <w:pPr>
        <w:pStyle w:val="53"/>
        <w:spacing w:line="520" w:lineRule="exact"/>
      </w:pPr>
      <w:bookmarkStart w:id="56" w:name="_Toc12772_WPSOffice_Level2"/>
      <w:bookmarkStart w:id="57" w:name="_Toc24820"/>
      <w:bookmarkStart w:id="58" w:name="_Toc27077"/>
      <w:bookmarkStart w:id="59" w:name="_Toc17543_WPSOffice_Level2"/>
      <w:bookmarkStart w:id="60" w:name="_Toc9154_WPSOffice_Level2"/>
      <w:bookmarkStart w:id="61" w:name="_Toc13054"/>
      <w:bookmarkStart w:id="62" w:name="_Toc15161"/>
      <w:bookmarkStart w:id="63" w:name="_Toc8225"/>
      <w:r>
        <w:rPr>
          <w:rFonts w:hint="eastAsia"/>
        </w:rPr>
        <w:t>（一）</w:t>
      </w:r>
      <w:bookmarkEnd w:id="56"/>
      <w:bookmarkEnd w:id="57"/>
      <w:bookmarkEnd w:id="58"/>
      <w:bookmarkEnd w:id="59"/>
      <w:bookmarkEnd w:id="60"/>
      <w:bookmarkEnd w:id="61"/>
      <w:bookmarkEnd w:id="62"/>
      <w:r>
        <w:rPr>
          <w:rFonts w:hint="eastAsia"/>
        </w:rPr>
        <w:t>强化组织保障</w:t>
      </w:r>
      <w:bookmarkEnd w:id="63"/>
    </w:p>
    <w:p>
      <w:pPr>
        <w:pStyle w:val="2"/>
        <w:spacing w:line="520" w:lineRule="exact"/>
        <w:ind w:firstLine="640"/>
        <w:rPr>
          <w:rFonts w:eastAsia="仿宋_GB2312" w:cs="Times New Roman"/>
          <w:kern w:val="0"/>
          <w:sz w:val="32"/>
          <w:szCs w:val="32"/>
        </w:rPr>
      </w:pPr>
      <w:r>
        <w:rPr>
          <w:rFonts w:hint="eastAsia" w:ascii="仿宋" w:hAnsi="仿宋" w:eastAsia="仿宋" w:cs="仿宋"/>
          <w:sz w:val="32"/>
          <w:szCs w:val="32"/>
        </w:rPr>
        <w:t>充分发挥政府主体责任，各部门要强化统筹协调，明确责任分工，优化配置资源，分别制定规划落实方案，推动商务规划有效落实。定期召开工作会议，专题研究、协调解决商务发展中的问题。建立健全政府领导与重点企业的联系结对制度，协调解决企业发展中的相关事宜。建立目标责任及绩效考核机制，明确各部门工作职责，形成分工协作、共同推进的工作机制。</w:t>
      </w:r>
    </w:p>
    <w:p>
      <w:pPr>
        <w:pStyle w:val="53"/>
        <w:spacing w:line="520" w:lineRule="exact"/>
      </w:pPr>
      <w:bookmarkStart w:id="64" w:name="_Toc25340"/>
      <w:bookmarkStart w:id="65" w:name="_Toc2114"/>
      <w:bookmarkStart w:id="66" w:name="_Toc24893"/>
      <w:bookmarkStart w:id="67" w:name="_Toc10144_WPSOffice_Level2"/>
      <w:bookmarkStart w:id="68" w:name="_Toc1236"/>
      <w:bookmarkStart w:id="69" w:name="_Toc32249_WPSOffice_Level2"/>
      <w:bookmarkStart w:id="70" w:name="_Toc19782_WPSOffice_Level2"/>
      <w:bookmarkStart w:id="71" w:name="_Toc16377"/>
      <w:r>
        <w:rPr>
          <w:rFonts w:hint="eastAsia"/>
        </w:rPr>
        <w:t>（二）强化政策</w:t>
      </w:r>
      <w:bookmarkEnd w:id="64"/>
      <w:bookmarkEnd w:id="65"/>
      <w:bookmarkEnd w:id="66"/>
      <w:bookmarkEnd w:id="67"/>
      <w:bookmarkEnd w:id="68"/>
      <w:bookmarkEnd w:id="69"/>
      <w:bookmarkEnd w:id="70"/>
      <w:r>
        <w:rPr>
          <w:rFonts w:hint="eastAsia"/>
        </w:rPr>
        <w:t>保障</w:t>
      </w:r>
      <w:bookmarkEnd w:id="71"/>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以浙江省商务领域共同富裕试点为抓手，对标省内、市内先进水平，结合龙泉实际，</w:t>
      </w:r>
      <w:r>
        <w:rPr>
          <w:rFonts w:ascii="仿宋_GB2312" w:hAnsi="仿宋_GB2312" w:eastAsia="仿宋_GB2312" w:cs="仿宋_GB2312"/>
          <w:sz w:val="32"/>
          <w:szCs w:val="32"/>
        </w:rPr>
        <w:t>加强金融、人才、土地等政策整合，</w:t>
      </w:r>
      <w:r>
        <w:rPr>
          <w:rFonts w:hint="eastAsia" w:ascii="仿宋_GB2312" w:hAnsi="仿宋_GB2312" w:eastAsia="仿宋_GB2312" w:cs="仿宋_GB2312"/>
          <w:sz w:val="32"/>
          <w:szCs w:val="32"/>
        </w:rPr>
        <w:t>建立保障高质量、高水平的新型商务政策，</w:t>
      </w:r>
      <w:r>
        <w:rPr>
          <w:rFonts w:ascii="仿宋_GB2312" w:hAnsi="仿宋_GB2312" w:eastAsia="仿宋_GB2312" w:cs="仿宋_GB2312"/>
          <w:sz w:val="32"/>
          <w:szCs w:val="32"/>
        </w:rPr>
        <w:t>增强政策制定的针对性和执行的协调性。</w:t>
      </w:r>
      <w:r>
        <w:rPr>
          <w:rFonts w:hint="eastAsia" w:ascii="仿宋_GB2312" w:hAnsi="仿宋_GB2312" w:eastAsia="仿宋_GB2312" w:cs="仿宋_GB2312"/>
          <w:sz w:val="32"/>
          <w:szCs w:val="32"/>
        </w:rPr>
        <w:t>积极争取国家、省级在推进商务高质量发展方面的政策支持，</w:t>
      </w:r>
      <w:r>
        <w:rPr>
          <w:rFonts w:hint="eastAsia" w:eastAsia="仿宋_GB2312" w:cs="Times New Roman"/>
          <w:kern w:val="0"/>
          <w:sz w:val="32"/>
          <w:szCs w:val="32"/>
        </w:rPr>
        <w:t>发挥中央、省级、市级财政资金的促进作用，</w:t>
      </w:r>
      <w:r>
        <w:rPr>
          <w:rFonts w:hint="eastAsia" w:ascii="仿宋_GB2312" w:hAnsi="仿宋_GB2312" w:eastAsia="仿宋_GB2312" w:cs="仿宋_GB2312"/>
          <w:sz w:val="32"/>
          <w:szCs w:val="32"/>
        </w:rPr>
        <w:t>出台配套的龙泉市商务发展扶持政策，安排商务发展专项资金，</w:t>
      </w:r>
      <w:r>
        <w:rPr>
          <w:rFonts w:hint="eastAsia" w:eastAsia="仿宋_GB2312" w:cs="Times New Roman"/>
          <w:kern w:val="0"/>
          <w:sz w:val="32"/>
          <w:szCs w:val="32"/>
        </w:rPr>
        <w:t>积极引导社会资本，</w:t>
      </w:r>
      <w:r>
        <w:rPr>
          <w:rFonts w:hint="eastAsia" w:ascii="仿宋_GB2312" w:hAnsi="仿宋_GB2312" w:eastAsia="仿宋_GB2312" w:cs="仿宋_GB2312"/>
          <w:sz w:val="32"/>
          <w:szCs w:val="32"/>
        </w:rPr>
        <w:t>推动重大项目建设、重点工作推进、人才培育招引等。</w:t>
      </w:r>
      <w:bookmarkStart w:id="72" w:name="_Toc3710"/>
      <w:bookmarkStart w:id="73" w:name="_Toc18518"/>
      <w:bookmarkStart w:id="74" w:name="_Toc16293"/>
      <w:bookmarkStart w:id="75" w:name="_Toc3776_WPSOffice_Level2"/>
      <w:bookmarkStart w:id="76" w:name="_Toc14519_WPSOffice_Level2"/>
      <w:bookmarkStart w:id="77" w:name="_Toc24767_WPSOffice_Level2"/>
      <w:bookmarkStart w:id="78" w:name="_Toc21630"/>
      <w:r>
        <w:rPr>
          <w:rFonts w:hint="eastAsia" w:ascii="仿宋_GB2312" w:hAnsi="仿宋_GB2312" w:eastAsia="仿宋_GB2312" w:cs="仿宋_GB2312"/>
          <w:sz w:val="32"/>
          <w:szCs w:val="32"/>
        </w:rPr>
        <w:t>加大对</w:t>
      </w:r>
      <w:r>
        <w:rPr>
          <w:rFonts w:hint="eastAsia" w:eastAsia="仿宋_GB2312" w:cs="Times New Roman"/>
          <w:kern w:val="0"/>
          <w:sz w:val="32"/>
          <w:szCs w:val="32"/>
        </w:rPr>
        <w:t>重要商品储备库、新型农村流通主体、智慧物流等设施用地需求的保障。</w:t>
      </w:r>
    </w:p>
    <w:p>
      <w:pPr>
        <w:pStyle w:val="53"/>
        <w:spacing w:line="520" w:lineRule="exact"/>
      </w:pPr>
      <w:bookmarkStart w:id="79" w:name="_Toc2665"/>
      <w:r>
        <w:rPr>
          <w:rFonts w:hint="eastAsia"/>
        </w:rPr>
        <w:t>（三）</w:t>
      </w:r>
      <w:bookmarkEnd w:id="72"/>
      <w:bookmarkEnd w:id="73"/>
      <w:bookmarkEnd w:id="74"/>
      <w:bookmarkEnd w:id="75"/>
      <w:bookmarkEnd w:id="76"/>
      <w:bookmarkEnd w:id="77"/>
      <w:bookmarkEnd w:id="78"/>
      <w:r>
        <w:rPr>
          <w:rFonts w:hint="eastAsia"/>
        </w:rPr>
        <w:t>强化人才保障</w:t>
      </w:r>
      <w:bookmarkEnd w:id="79"/>
    </w:p>
    <w:p>
      <w:pPr>
        <w:widowControl/>
        <w:spacing w:line="520" w:lineRule="exact"/>
        <w:ind w:firstLine="640"/>
        <w:rPr>
          <w:rFonts w:eastAsia="仿宋_GB2312" w:cs="Times New Roman"/>
          <w:kern w:val="0"/>
          <w:sz w:val="32"/>
          <w:szCs w:val="32"/>
        </w:rPr>
      </w:pPr>
      <w:r>
        <w:rPr>
          <w:rFonts w:hint="eastAsia" w:ascii="仿宋_GB2312" w:hAnsi="仿宋_GB2312" w:eastAsia="仿宋_GB2312" w:cs="仿宋_GB2312"/>
          <w:sz w:val="32"/>
          <w:szCs w:val="32"/>
        </w:rPr>
        <w:t>拓宽人才招引渠道，实施更加开放、力度更大的招引政策，完善人才落地、</w:t>
      </w:r>
      <w:r>
        <w:rPr>
          <w:rFonts w:ascii="仿宋_GB2312" w:hAnsi="仿宋_GB2312" w:eastAsia="仿宋_GB2312" w:cs="仿宋_GB2312"/>
          <w:sz w:val="32"/>
          <w:szCs w:val="32"/>
        </w:rPr>
        <w:t>激励约束</w:t>
      </w:r>
      <w:r>
        <w:rPr>
          <w:rFonts w:hint="eastAsia" w:ascii="仿宋_GB2312" w:hAnsi="仿宋_GB2312" w:eastAsia="仿宋_GB2312" w:cs="仿宋_GB2312"/>
          <w:sz w:val="32"/>
          <w:szCs w:val="32"/>
        </w:rPr>
        <w:t>等保障机制，积极引进</w:t>
      </w:r>
      <w:r>
        <w:rPr>
          <w:rFonts w:ascii="仿宋_GB2312" w:hAnsi="仿宋_GB2312" w:eastAsia="仿宋_GB2312" w:cs="仿宋_GB2312"/>
          <w:sz w:val="32"/>
          <w:szCs w:val="32"/>
        </w:rPr>
        <w:t>跨境电商、服务贸易等商务领域</w:t>
      </w:r>
      <w:r>
        <w:rPr>
          <w:rFonts w:hint="eastAsia" w:ascii="仿宋_GB2312" w:hAnsi="仿宋_GB2312" w:eastAsia="仿宋_GB2312" w:cs="仿宋_GB2312"/>
          <w:sz w:val="32"/>
          <w:szCs w:val="32"/>
        </w:rPr>
        <w:t>紧缺性人才。创新人才培训模式，加强本土人才培育。</w:t>
      </w:r>
      <w:r>
        <w:rPr>
          <w:rFonts w:hint="eastAsia" w:eastAsia="仿宋_GB2312" w:cs="Times New Roman"/>
          <w:kern w:val="0"/>
          <w:sz w:val="32"/>
          <w:szCs w:val="32"/>
        </w:rPr>
        <w:t>培育本土新型商业带头人，开展品牌设计、市场营销、电商应用等专业培训，举办创业创新和技能大赛，挖掘本土商业人才。加强产学融合，提供人才智力保障。依托省内高等院校、职业院校、大型企业、行业协会及专业培训机构，建立多层次的商贸流通人才教育培训体系，建立商贸领域实习实训基地，加快培育一批掌握现代商务发展理念、具有专业特长、敢于开拓创新的商业人才。</w:t>
      </w:r>
    </w:p>
    <w:p>
      <w:pPr>
        <w:widowControl/>
        <w:spacing w:line="520" w:lineRule="exact"/>
        <w:ind w:firstLine="0" w:firstLineChars="0"/>
        <w:jc w:val="left"/>
        <w:rPr>
          <w:rFonts w:eastAsia="仿宋_GB2312" w:cs="Times New Roman"/>
          <w:kern w:val="0"/>
          <w:sz w:val="32"/>
          <w:szCs w:val="32"/>
        </w:rPr>
        <w:sectPr>
          <w:footerReference r:id="rId12" w:type="default"/>
          <w:pgSz w:w="11906" w:h="16838"/>
          <w:pgMar w:top="1440" w:right="1800" w:bottom="1440" w:left="1800" w:header="851" w:footer="992" w:gutter="0"/>
          <w:cols w:space="425" w:num="1"/>
          <w:docGrid w:type="lines" w:linePitch="312" w:charSpace="0"/>
        </w:sectPr>
      </w:pPr>
    </w:p>
    <w:p>
      <w:pPr>
        <w:pStyle w:val="52"/>
        <w:ind w:firstLine="0" w:firstLineChars="0"/>
      </w:pPr>
      <w:bookmarkStart w:id="80" w:name="_Toc26084"/>
      <w:r>
        <w:rPr>
          <w:rFonts w:hint="eastAsia"/>
        </w:rPr>
        <w:t>附件一：龙泉市商务经济高质量发展“十四五”规划建设项目</w:t>
      </w:r>
      <w:bookmarkEnd w:id="80"/>
    </w:p>
    <w:tbl>
      <w:tblPr>
        <w:tblStyle w:val="21"/>
        <w:tblW w:w="13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53"/>
        <w:gridCol w:w="2542"/>
        <w:gridCol w:w="7077"/>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62" w:type="dxa"/>
            <w:vAlign w:val="center"/>
          </w:tcPr>
          <w:p>
            <w:pPr>
              <w:pStyle w:val="19"/>
              <w:spacing w:line="440" w:lineRule="exact"/>
              <w:ind w:firstLine="0" w:firstLineChars="0"/>
              <w:jc w:val="center"/>
              <w:rPr>
                <w:rFonts w:ascii="仿宋" w:hAnsi="仿宋" w:eastAsia="仿宋" w:cs="仿宋"/>
                <w:b/>
                <w:bCs/>
                <w:szCs w:val="21"/>
              </w:rPr>
            </w:pPr>
            <w:r>
              <w:rPr>
                <w:rFonts w:hint="eastAsia" w:ascii="仿宋" w:hAnsi="仿宋" w:eastAsia="仿宋" w:cs="仿宋"/>
                <w:b/>
                <w:bCs/>
                <w:szCs w:val="21"/>
              </w:rPr>
              <w:t>序号</w:t>
            </w:r>
          </w:p>
        </w:tc>
        <w:tc>
          <w:tcPr>
            <w:tcW w:w="1253" w:type="dxa"/>
            <w:vAlign w:val="center"/>
          </w:tcPr>
          <w:p>
            <w:pPr>
              <w:pStyle w:val="19"/>
              <w:spacing w:line="440" w:lineRule="exact"/>
              <w:ind w:firstLine="0" w:firstLineChars="0"/>
              <w:jc w:val="center"/>
              <w:rPr>
                <w:rFonts w:ascii="仿宋" w:hAnsi="仿宋" w:eastAsia="仿宋" w:cs="仿宋"/>
                <w:b/>
                <w:bCs/>
                <w:szCs w:val="21"/>
              </w:rPr>
            </w:pPr>
            <w:r>
              <w:rPr>
                <w:rFonts w:hint="eastAsia" w:ascii="仿宋" w:hAnsi="仿宋" w:eastAsia="仿宋" w:cs="仿宋"/>
                <w:b/>
                <w:bCs/>
                <w:szCs w:val="21"/>
              </w:rPr>
              <w:t>类别</w:t>
            </w:r>
          </w:p>
        </w:tc>
        <w:tc>
          <w:tcPr>
            <w:tcW w:w="2542" w:type="dxa"/>
            <w:vAlign w:val="center"/>
          </w:tcPr>
          <w:p>
            <w:pPr>
              <w:pStyle w:val="19"/>
              <w:spacing w:line="440" w:lineRule="exact"/>
              <w:ind w:firstLine="0" w:firstLineChars="0"/>
              <w:jc w:val="center"/>
              <w:rPr>
                <w:rFonts w:ascii="仿宋" w:hAnsi="仿宋" w:eastAsia="仿宋" w:cs="仿宋"/>
                <w:b/>
                <w:bCs/>
                <w:szCs w:val="21"/>
              </w:rPr>
            </w:pPr>
            <w:r>
              <w:rPr>
                <w:rFonts w:hint="eastAsia" w:ascii="仿宋" w:hAnsi="仿宋" w:eastAsia="仿宋" w:cs="仿宋"/>
                <w:b/>
                <w:bCs/>
                <w:szCs w:val="21"/>
              </w:rPr>
              <w:t>项目名称</w:t>
            </w:r>
          </w:p>
        </w:tc>
        <w:tc>
          <w:tcPr>
            <w:tcW w:w="7077" w:type="dxa"/>
            <w:vAlign w:val="center"/>
          </w:tcPr>
          <w:p>
            <w:pPr>
              <w:pStyle w:val="19"/>
              <w:spacing w:line="440" w:lineRule="exact"/>
              <w:ind w:firstLine="0" w:firstLineChars="0"/>
              <w:jc w:val="center"/>
              <w:rPr>
                <w:rFonts w:ascii="仿宋" w:hAnsi="仿宋" w:eastAsia="仿宋" w:cs="仿宋"/>
                <w:b/>
                <w:bCs/>
                <w:szCs w:val="21"/>
              </w:rPr>
            </w:pPr>
            <w:r>
              <w:rPr>
                <w:rFonts w:hint="eastAsia" w:ascii="仿宋" w:hAnsi="仿宋" w:eastAsia="仿宋" w:cs="仿宋"/>
                <w:b/>
                <w:bCs/>
                <w:szCs w:val="21"/>
              </w:rPr>
              <w:t>建设内容</w:t>
            </w:r>
          </w:p>
        </w:tc>
        <w:tc>
          <w:tcPr>
            <w:tcW w:w="1523" w:type="dxa"/>
            <w:vAlign w:val="center"/>
          </w:tcPr>
          <w:p>
            <w:pPr>
              <w:pStyle w:val="19"/>
              <w:spacing w:line="440" w:lineRule="exact"/>
              <w:ind w:firstLine="0" w:firstLineChars="0"/>
              <w:jc w:val="center"/>
              <w:rPr>
                <w:rFonts w:hint="eastAsia" w:ascii="仿宋" w:hAnsi="仿宋" w:eastAsia="仿宋" w:cs="仿宋"/>
                <w:b/>
                <w:bCs/>
                <w:szCs w:val="21"/>
              </w:rPr>
            </w:pPr>
            <w:r>
              <w:rPr>
                <w:rFonts w:hint="eastAsia" w:ascii="仿宋" w:hAnsi="仿宋" w:eastAsia="仿宋" w:cs="仿宋"/>
                <w:b/>
                <w:bCs/>
                <w:szCs w:val="21"/>
              </w:rPr>
              <w:t>“十四五”</w:t>
            </w:r>
          </w:p>
          <w:p>
            <w:pPr>
              <w:pStyle w:val="19"/>
              <w:spacing w:line="440" w:lineRule="exact"/>
              <w:ind w:firstLine="0" w:firstLineChars="0"/>
              <w:jc w:val="center"/>
              <w:rPr>
                <w:rFonts w:ascii="仿宋" w:hAnsi="仿宋" w:eastAsia="仿宋" w:cs="仿宋"/>
                <w:b/>
                <w:bCs/>
                <w:szCs w:val="21"/>
              </w:rPr>
            </w:pPr>
            <w:r>
              <w:rPr>
                <w:rFonts w:hint="eastAsia" w:ascii="仿宋" w:hAnsi="仿宋" w:eastAsia="仿宋" w:cs="仿宋"/>
                <w:b/>
                <w:bCs/>
                <w:szCs w:val="21"/>
              </w:rPr>
              <w:t>投资额（亿元）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基础设施建设</w:t>
            </w: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城市文化会客厅</w:t>
            </w:r>
          </w:p>
        </w:tc>
        <w:tc>
          <w:tcPr>
            <w:tcW w:w="7077" w:type="dxa"/>
          </w:tcPr>
          <w:p>
            <w:pPr>
              <w:pStyle w:val="19"/>
              <w:spacing w:line="440" w:lineRule="exact"/>
              <w:ind w:firstLineChars="200"/>
              <w:jc w:val="left"/>
              <w:rPr>
                <w:rFonts w:ascii="仿宋" w:hAnsi="仿宋" w:eastAsia="仿宋" w:cs="仿宋"/>
                <w:szCs w:val="21"/>
              </w:rPr>
            </w:pPr>
            <w:r>
              <w:rPr>
                <w:rFonts w:hint="eastAsia" w:ascii="仿宋" w:hAnsi="仿宋" w:eastAsia="仿宋" w:cs="仿宋"/>
                <w:szCs w:val="21"/>
              </w:rPr>
              <w:t>总用地面积约13万平方米，总建筑面积约25万平方米。主要建设内容包括剑瓷集散基地、电商基地，以及配套产品展示区、交易商业街等。</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2</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汽车城</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总用地220亩，建筑面积约10万平方米，建设集会展中心、汽车销售4s店、二手车交易、汽车维修及休闲娱乐、餐饮等为一体，打造体验型一站式购物的浙闽赣边际中心城市综合汽车城。</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3</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综合电商中心</w:t>
            </w:r>
          </w:p>
        </w:tc>
        <w:tc>
          <w:tcPr>
            <w:tcW w:w="7077" w:type="dxa"/>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项目总投资超30亿元，总用地约319亩，规划总建筑面积约51.8万平方米，项目分四期实施，其中一期项目为青瓷工业地产二期区块和人才公寓区块；二期项目为竹木电商智能物流中心；三期项目为电商总部大楼区块；四期项目为综合电商区块，项目涵盖电商总部经济大楼、电商物流仓储中心、公用型保税仓库、电商会展、直播中心等多个功能版块，建成后将有效实现龙泉与浦城、松溪、广丰等周边城市的发展联动、经济互动、要素流动，形成浙闽赣三省边际中心电商新城，推动龙泉打造电子商务、商贸物流区域性节点城市，助力我市新型工业化、新型城镇化建设。建成后可招引入驻电商企业500家左右，实现年网络零售额30亿元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4</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浙闽赣食用菌交易中心</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项目总占地面积约2万平方米,建筑面积2.3万平方米,拥有店面300余间。加快推动浙闽赣食用菌交易中心改造升级，到2025年，实现入驻食用菌经营户200家以上，年销售额20亿元以上。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5</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再生资源回收分拣中心</w:t>
            </w:r>
          </w:p>
        </w:tc>
        <w:tc>
          <w:tcPr>
            <w:tcW w:w="7077" w:type="dxa"/>
            <w:vAlign w:val="center"/>
          </w:tcPr>
          <w:p>
            <w:pPr>
              <w:pStyle w:val="19"/>
              <w:spacing w:line="360" w:lineRule="exact"/>
              <w:ind w:firstLineChars="200"/>
              <w:rPr>
                <w:rFonts w:ascii="仿宋" w:hAnsi="仿宋" w:eastAsia="仿宋" w:cs="仿宋"/>
                <w:szCs w:val="21"/>
              </w:rPr>
            </w:pPr>
            <w:r>
              <w:rPr>
                <w:rFonts w:hint="eastAsia" w:ascii="仿宋" w:hAnsi="仿宋" w:eastAsia="仿宋" w:cs="仿宋"/>
                <w:szCs w:val="21"/>
              </w:rPr>
              <w:t>分拣中心总用地100亩，集再生资源加工、储存、交易和管理于一体。</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6</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龙泉市家居建材综合市场</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用地约150亩，含家居建材市场，新旧汽摩电动车及配件超市，五金机电市场，配套以智能节能商务酒店、写字楼、住宅为一体的大型城市综合体。</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7</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adjustRightInd w:val="0"/>
              <w:snapToGrid w:val="0"/>
              <w:spacing w:line="440" w:lineRule="exact"/>
              <w:ind w:firstLine="0" w:firstLineChars="0"/>
              <w:jc w:val="center"/>
              <w:rPr>
                <w:rFonts w:ascii="仿宋" w:hAnsi="仿宋" w:eastAsia="仿宋" w:cs="仿宋"/>
                <w:sz w:val="21"/>
                <w:szCs w:val="21"/>
              </w:rPr>
            </w:pPr>
            <w:r>
              <w:rPr>
                <w:rFonts w:hint="eastAsia" w:ascii="仿宋" w:hAnsi="仿宋" w:eastAsia="仿宋" w:cs="仿宋"/>
                <w:sz w:val="21"/>
                <w:szCs w:val="21"/>
              </w:rPr>
              <w:t>精密制造产业园</w:t>
            </w:r>
          </w:p>
        </w:tc>
        <w:tc>
          <w:tcPr>
            <w:tcW w:w="7077" w:type="dxa"/>
          </w:tcPr>
          <w:p>
            <w:pPr>
              <w:widowControl/>
              <w:adjustRightInd w:val="0"/>
              <w:snapToGrid w:val="0"/>
              <w:spacing w:line="360" w:lineRule="exact"/>
              <w:ind w:firstLine="420"/>
              <w:jc w:val="left"/>
              <w:rPr>
                <w:rFonts w:ascii="仿宋" w:hAnsi="仿宋" w:eastAsia="仿宋" w:cs="仿宋"/>
                <w:sz w:val="21"/>
                <w:szCs w:val="21"/>
              </w:rPr>
            </w:pPr>
            <w:r>
              <w:rPr>
                <w:rFonts w:hint="eastAsia" w:ascii="仿宋" w:hAnsi="仿宋" w:eastAsia="仿宋" w:cs="仿宋"/>
                <w:sz w:val="21"/>
                <w:szCs w:val="21"/>
              </w:rPr>
              <w:t>计划用地面积约5600亩，引进汽车空调、节能与新能源汽车、智能装备、新材料、工程机械等制造业项目，发展精密智造产业。发挥省市县长项目工程引领作用，引进10亿元以上项目5个以上；狠抓“链主型”企业和关键企业招引，引进5亿元以上延链强链补链项目10个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8</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adjustRightInd w:val="0"/>
              <w:snapToGrid w:val="0"/>
              <w:spacing w:line="440" w:lineRule="exact"/>
              <w:ind w:firstLine="0" w:firstLineChars="0"/>
              <w:jc w:val="center"/>
              <w:rPr>
                <w:rFonts w:ascii="仿宋" w:hAnsi="仿宋" w:eastAsia="仿宋" w:cs="仿宋"/>
                <w:sz w:val="21"/>
                <w:szCs w:val="21"/>
              </w:rPr>
            </w:pPr>
            <w:r>
              <w:rPr>
                <w:rFonts w:hint="eastAsia" w:ascii="仿宋" w:hAnsi="仿宋" w:eastAsia="仿宋" w:cs="仿宋"/>
                <w:sz w:val="21"/>
                <w:szCs w:val="21"/>
              </w:rPr>
              <w:t>巨龙汽配科创园</w:t>
            </w:r>
          </w:p>
        </w:tc>
        <w:tc>
          <w:tcPr>
            <w:tcW w:w="7077" w:type="dxa"/>
          </w:tcPr>
          <w:p>
            <w:pPr>
              <w:widowControl/>
              <w:adjustRightInd w:val="0"/>
              <w:snapToGrid w:val="0"/>
              <w:spacing w:line="360" w:lineRule="exact"/>
              <w:ind w:firstLine="420"/>
              <w:jc w:val="left"/>
              <w:rPr>
                <w:rFonts w:ascii="仿宋" w:hAnsi="仿宋" w:eastAsia="仿宋" w:cs="仿宋"/>
                <w:sz w:val="21"/>
                <w:szCs w:val="21"/>
              </w:rPr>
            </w:pPr>
            <w:r>
              <w:rPr>
                <w:rFonts w:hint="eastAsia" w:ascii="仿宋" w:hAnsi="仿宋" w:eastAsia="仿宋" w:cs="仿宋"/>
                <w:sz w:val="21"/>
                <w:szCs w:val="21"/>
              </w:rPr>
              <w:t>计划用地面积为38561.56平方米，总建筑面积67898.50平方米（拟入驻60条以上五金汽配生产线，打造集汽车配件生产展示、销售、研发为一体的产业科创园。其中地上总建筑面积61698.50平方米，地下总面积6200平方米，具体以规划部门核定的面积为准)。</w:t>
            </w:r>
          </w:p>
        </w:tc>
        <w:tc>
          <w:tcPr>
            <w:tcW w:w="1523"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9</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adjustRightInd w:val="0"/>
              <w:snapToGrid w:val="0"/>
              <w:spacing w:line="440" w:lineRule="exact"/>
              <w:ind w:firstLine="0" w:firstLineChars="0"/>
              <w:jc w:val="center"/>
              <w:rPr>
                <w:rFonts w:ascii="仿宋" w:hAnsi="仿宋" w:eastAsia="仿宋" w:cs="仿宋"/>
                <w:sz w:val="21"/>
                <w:szCs w:val="21"/>
              </w:rPr>
            </w:pPr>
            <w:r>
              <w:rPr>
                <w:rFonts w:hint="eastAsia" w:ascii="仿宋" w:hAnsi="仿宋" w:eastAsia="仿宋" w:cs="仿宋"/>
                <w:sz w:val="21"/>
                <w:szCs w:val="21"/>
              </w:rPr>
              <w:t>保税</w:t>
            </w:r>
            <w:r>
              <w:rPr>
                <w:rFonts w:hint="eastAsia" w:ascii="仿宋" w:hAnsi="仿宋" w:eastAsia="仿宋" w:cs="仿宋"/>
                <w:sz w:val="21"/>
                <w:szCs w:val="21"/>
                <w:lang w:eastAsia="zh-CN"/>
              </w:rPr>
              <w:t>物流中心</w:t>
            </w:r>
          </w:p>
        </w:tc>
        <w:tc>
          <w:tcPr>
            <w:tcW w:w="7077" w:type="dxa"/>
          </w:tcPr>
          <w:p>
            <w:pPr>
              <w:widowControl/>
              <w:adjustRightInd w:val="0"/>
              <w:snapToGrid w:val="0"/>
              <w:spacing w:line="360" w:lineRule="exact"/>
              <w:ind w:firstLine="420"/>
              <w:jc w:val="left"/>
              <w:rPr>
                <w:rFonts w:hint="eastAsia" w:ascii="仿宋" w:hAnsi="仿宋" w:eastAsia="仿宋" w:cs="仿宋"/>
                <w:sz w:val="21"/>
                <w:szCs w:val="21"/>
                <w:lang w:eastAsia="zh-CN"/>
              </w:rPr>
            </w:pPr>
            <w:r>
              <w:rPr>
                <w:rFonts w:hint="eastAsia" w:ascii="仿宋" w:hAnsi="仿宋" w:eastAsia="仿宋" w:cs="仿宋"/>
                <w:sz w:val="21"/>
                <w:szCs w:val="21"/>
              </w:rPr>
              <w:t>计划用地面积50亩</w:t>
            </w:r>
            <w:r>
              <w:rPr>
                <w:rFonts w:hint="eastAsia" w:ascii="仿宋" w:hAnsi="仿宋" w:eastAsia="仿宋" w:cs="仿宋"/>
                <w:sz w:val="21"/>
                <w:szCs w:val="21"/>
                <w:lang w:eastAsia="zh-CN"/>
              </w:rPr>
              <w:t>，</w:t>
            </w:r>
            <w:r>
              <w:rPr>
                <w:rFonts w:hint="eastAsia" w:ascii="仿宋" w:hAnsi="仿宋" w:eastAsia="仿宋" w:cs="仿宋"/>
                <w:sz w:val="21"/>
                <w:szCs w:val="21"/>
              </w:rPr>
              <w:t>分</w:t>
            </w:r>
            <w:r>
              <w:rPr>
                <w:rFonts w:hint="eastAsia" w:ascii="仿宋" w:hAnsi="仿宋" w:eastAsia="仿宋" w:cs="仿宋"/>
                <w:sz w:val="21"/>
                <w:szCs w:val="21"/>
                <w:lang w:eastAsia="zh-CN"/>
              </w:rPr>
              <w:t>两</w:t>
            </w:r>
            <w:r>
              <w:rPr>
                <w:rFonts w:hint="eastAsia" w:ascii="仿宋" w:hAnsi="仿宋" w:eastAsia="仿宋" w:cs="仿宋"/>
                <w:sz w:val="21"/>
                <w:szCs w:val="21"/>
              </w:rPr>
              <w:t>期建设，一期谋划建设</w:t>
            </w:r>
            <w:r>
              <w:rPr>
                <w:rFonts w:hint="eastAsia" w:ascii="仿宋" w:hAnsi="仿宋" w:eastAsia="仿宋" w:cs="仿宋"/>
                <w:sz w:val="21"/>
                <w:szCs w:val="21"/>
                <w:lang w:eastAsia="zh-CN"/>
              </w:rPr>
              <w:t>公用型进口保税仓和出口监管</w:t>
            </w:r>
            <w:r>
              <w:rPr>
                <w:rFonts w:hint="eastAsia" w:ascii="仿宋" w:hAnsi="仿宋" w:eastAsia="仿宋" w:cs="仿宋"/>
                <w:sz w:val="21"/>
                <w:szCs w:val="21"/>
              </w:rPr>
              <w:t>仓</w:t>
            </w:r>
            <w:r>
              <w:rPr>
                <w:rFonts w:hint="eastAsia" w:ascii="仿宋" w:hAnsi="仿宋" w:eastAsia="仿宋" w:cs="仿宋"/>
                <w:sz w:val="21"/>
                <w:szCs w:val="21"/>
                <w:lang w:eastAsia="zh-CN"/>
              </w:rPr>
              <w:t>；二期谋划建设</w:t>
            </w:r>
            <w:r>
              <w:rPr>
                <w:rFonts w:hint="eastAsia" w:ascii="仿宋" w:hAnsi="仿宋" w:eastAsia="仿宋" w:cs="仿宋"/>
                <w:sz w:val="21"/>
                <w:szCs w:val="21"/>
              </w:rPr>
              <w:t>保税物流中心（A型）</w:t>
            </w:r>
            <w:r>
              <w:rPr>
                <w:rFonts w:hint="eastAsia" w:ascii="仿宋" w:hAnsi="仿宋" w:eastAsia="仿宋" w:cs="仿宋"/>
                <w:sz w:val="21"/>
                <w:szCs w:val="21"/>
                <w:lang w:eastAsia="zh-CN"/>
              </w:rPr>
              <w:t>。</w:t>
            </w:r>
          </w:p>
        </w:tc>
        <w:tc>
          <w:tcPr>
            <w:tcW w:w="1523" w:type="dxa"/>
            <w:vAlign w:val="center"/>
          </w:tcPr>
          <w:p>
            <w:pPr>
              <w:pStyle w:val="19"/>
              <w:spacing w:line="440" w:lineRule="exact"/>
              <w:ind w:firstLine="0" w:firstLineChars="0"/>
              <w:jc w:val="center"/>
              <w:rPr>
                <w:rFonts w:hint="eastAsia" w:ascii="仿宋" w:hAnsi="仿宋" w:eastAsia="仿宋" w:cs="仿宋"/>
                <w:szCs w:val="21"/>
                <w:lang w:eastAsia="zh-CN"/>
              </w:rPr>
            </w:pPr>
            <w:r>
              <w:rPr>
                <w:rFonts w:hint="eastAsia" w:ascii="仿宋" w:hAnsi="仿宋" w:eastAsia="仿宋" w:cs="仿宋"/>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10</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智慧商圈</w:t>
            </w: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龙渊新天地</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总建筑面积近3万平方米，包含地上三层和地下一层。集聚购物、餐饮、休闲娱乐为一体的府衙文化商圈。</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1</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万达广场</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总建筑面积10万平方米，集购物、餐饮、娱乐和商务于一体的城市综合体。</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12</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特色街区</w:t>
            </w: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文化特色街区</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建设文化特色街区，按照“一街一特色”原则，加大对重点特色商业街区的支持力度，打造青瓷宝剑苑特色商业街、西街老字号历史文化特色街和上茶街等特色街区。</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13</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乡镇特色街区</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建设乡镇特色街区，按照“一镇一特色”原则，积极挖掘乡镇商贸发展特色，推进八都长安古街、安仁鱼头特色街、上垟青瓷小镇特色街、宝剑小镇特色街等中心镇商贸特色一条街建设。</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14</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农村消费提质扩容</w:t>
            </w: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商贸特色镇</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围绕农村产业融合发展，发挥乡镇的商贸集聚功能，打造龙渊、八都、安仁等以一条商贸特色街、一个商贸综合体、一张覆盖周边乡村物流配送网等为基础，设施完善、模式先进、特色鲜明、贡献显著、宜居宜业的现代商贸特色镇。</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15</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商贸发展示范村</w:t>
            </w:r>
          </w:p>
        </w:tc>
        <w:tc>
          <w:tcPr>
            <w:tcW w:w="7077" w:type="dxa"/>
          </w:tcPr>
          <w:p>
            <w:pPr>
              <w:pStyle w:val="19"/>
              <w:spacing w:line="360" w:lineRule="exact"/>
              <w:ind w:firstLineChars="200"/>
              <w:jc w:val="left"/>
              <w:rPr>
                <w:rFonts w:ascii="仿宋" w:hAnsi="仿宋" w:eastAsia="仿宋" w:cs="仿宋"/>
                <w:szCs w:val="21"/>
              </w:rPr>
            </w:pPr>
            <w:r>
              <w:rPr>
                <w:rFonts w:hint="eastAsia" w:ascii="仿宋" w:hAnsi="仿宋" w:eastAsia="仿宋" w:cs="仿宋"/>
                <w:szCs w:val="21"/>
              </w:rPr>
              <w:t>健全农村流通网络和商贸设施，发展农村连锁便利店和商贸便民服务，建设精品村级生活综合服务中心（或集聚区域），立足历史文化地理资源禀赋，围绕农村产业融合，发展村级商贸经济，建成具有地方特色、农商融合、城乡融合、宜居宜业的商贸发展示范村10个。</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16</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商贸数字化平台建设</w:t>
            </w: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升级龙泉青瓷宝剑商城平台</w:t>
            </w:r>
          </w:p>
        </w:tc>
        <w:tc>
          <w:tcPr>
            <w:tcW w:w="7077" w:type="dxa"/>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升级龙泉青瓷宝剑商城平台。围绕龙泉青瓷宝剑传统文化产业“深化、物化、转化”发展，加大“天下龙泉”品牌推广力度，畅通剑瓷营销渠道，提升青瓷宝剑营销配套服务，促进我市批发零售业销售总额平稳增长。到2025年实现新增入驻企业300家以上，带动青瓷宝剑产品年销售8亿元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17</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升级龙泉农产品数字化平台</w:t>
            </w:r>
          </w:p>
        </w:tc>
        <w:tc>
          <w:tcPr>
            <w:tcW w:w="7077" w:type="dxa"/>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升级农产品供销e城平台。积极引导 “竹茶菌蔬”等农业主导产业实施数字化经营发展，以“农产品供销e城”平台为核心，开展种植实时数据监测、生产过程记录、产品溯源</w:t>
            </w:r>
            <w:r>
              <w:rPr>
                <w:rFonts w:hint="eastAsia" w:ascii="仿宋" w:hAnsi="仿宋" w:eastAsia="仿宋" w:cs="仿宋"/>
                <w:sz w:val="21"/>
                <w:szCs w:val="21"/>
                <w:lang w:eastAsia="zh-CN"/>
              </w:rPr>
              <w:t>、</w:t>
            </w:r>
            <w:r>
              <w:rPr>
                <w:rFonts w:hint="eastAsia" w:ascii="仿宋" w:hAnsi="仿宋" w:eastAsia="仿宋" w:cs="仿宋"/>
                <w:sz w:val="21"/>
                <w:szCs w:val="21"/>
              </w:rPr>
              <w:t>病虫害智能诊断等数字化管理，搭建农产品“产、供、销、信用”全产业链数字化公共服务平台。到2025年实现全市19个乡镇街道100多家农业企业产销数据全覆盖，带动农产品年销售5亿元以上。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18</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建设龙泉市竹木产业数字化项目</w:t>
            </w:r>
          </w:p>
        </w:tc>
        <w:tc>
          <w:tcPr>
            <w:tcW w:w="7077" w:type="dxa"/>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建设龙泉竹木产业数字化营销平台。打造龙泉竹木产业从生产、加工到销售的数字化多跨场景应用，建设竹木电商运营平台、竹木产业创新服务综合体、数字化云仓等，2022年建成后带动竹木加工企业50家以上，实现产品销售20亿元以上。</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19</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县乡村三级物流配送体系建设</w:t>
            </w: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优化提升</w:t>
            </w:r>
            <w:bookmarkStart w:id="83" w:name="_GoBack"/>
            <w:bookmarkEnd w:id="83"/>
            <w:r>
              <w:rPr>
                <w:rFonts w:hint="eastAsia" w:ascii="仿宋" w:hAnsi="仿宋" w:eastAsia="仿宋" w:cs="仿宋"/>
                <w:sz w:val="21"/>
                <w:szCs w:val="21"/>
              </w:rPr>
              <w:t>镇村级电商服务站（点）</w:t>
            </w:r>
          </w:p>
        </w:tc>
        <w:tc>
          <w:tcPr>
            <w:tcW w:w="7077" w:type="dxa"/>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优化提升100个镇村级电商服务站（点），以龙泉市现有的农村电商服务站为基础，开展农村镇村级电商服务站点优化提升专项行动，重点提升农产品出村服务能力。优化提升100个镇村级电商服务站（点），打造一批高标准电商服务示范站（点）。</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0</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电商快递物流行政村全覆盖</w:t>
            </w:r>
          </w:p>
        </w:tc>
        <w:tc>
          <w:tcPr>
            <w:tcW w:w="7077" w:type="dxa"/>
            <w:vAlign w:val="center"/>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整合各级服务站网点，充分利用快递站点、农村电商服务站点、邮政网点、供销网点、农民合作社等，健全末端共同配送，实现电商快递物流体系行政村覆盖率100%，解决农产品进城“最初一公里”和消费品下乡“最后一公里”问题。</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1</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建设龙泉市农村电商智慧物流配送中心</w:t>
            </w:r>
          </w:p>
        </w:tc>
        <w:tc>
          <w:tcPr>
            <w:tcW w:w="7077" w:type="dxa"/>
            <w:vAlign w:val="center"/>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培育1家公共仓储兼物流服务的电商企业，创建集产品分类仓储、统一管理和统一物流出货的可追溯型公共仓。</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22</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spacing w:line="440" w:lineRule="exact"/>
              <w:ind w:firstLine="0" w:firstLineChars="0"/>
              <w:rPr>
                <w:rFonts w:ascii="仿宋" w:hAnsi="仿宋" w:eastAsia="仿宋" w:cs="仿宋"/>
                <w:sz w:val="21"/>
                <w:szCs w:val="21"/>
              </w:rPr>
            </w:pPr>
            <w:r>
              <w:rPr>
                <w:rFonts w:hint="eastAsia" w:ascii="仿宋" w:hAnsi="仿宋" w:eastAsia="仿宋" w:cs="仿宋"/>
                <w:sz w:val="21"/>
                <w:szCs w:val="21"/>
              </w:rPr>
              <w:t>推动农产品冷链物流体系建设</w:t>
            </w:r>
          </w:p>
        </w:tc>
        <w:tc>
          <w:tcPr>
            <w:tcW w:w="7077" w:type="dxa"/>
            <w:vAlign w:val="center"/>
          </w:tcPr>
          <w:p>
            <w:pPr>
              <w:spacing w:line="360" w:lineRule="exact"/>
              <w:ind w:firstLine="420"/>
              <w:jc w:val="left"/>
              <w:rPr>
                <w:rFonts w:ascii="仿宋" w:hAnsi="仿宋" w:eastAsia="仿宋" w:cs="仿宋"/>
                <w:sz w:val="21"/>
                <w:szCs w:val="21"/>
              </w:rPr>
            </w:pPr>
            <w:r>
              <w:rPr>
                <w:rFonts w:hint="eastAsia" w:ascii="仿宋" w:hAnsi="仿宋" w:eastAsia="仿宋" w:cs="仿宋"/>
                <w:sz w:val="21"/>
                <w:szCs w:val="21"/>
              </w:rPr>
              <w:t>推动农产品冷链物流体系建设。实行“产品基地+产地冷库”模式，建设万亩高山果蔬等农产品冷链仓储配送中心，建立城乡物流一体化配送模式，解决农产品上行运输短板，大力推进农商互联供应链项目建设，实现农产品冷库仓储、冷链运输、超市保鲜等环节完整的冷链物流体系。到2025年实现农产品基地全覆盖，新增及改造提升农产品保鲜冷库库容3000立方米以上，基本形成基地—冷库—分拨中心—配送网点四级流通功能布局。</w:t>
            </w:r>
          </w:p>
        </w:tc>
        <w:tc>
          <w:tcPr>
            <w:tcW w:w="1523" w:type="dxa"/>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3</w:t>
            </w:r>
          </w:p>
        </w:tc>
        <w:tc>
          <w:tcPr>
            <w:tcW w:w="1253" w:type="dxa"/>
            <w:vMerge w:val="restart"/>
            <w:vAlign w:val="center"/>
          </w:tcPr>
          <w:p>
            <w:pPr>
              <w:pStyle w:val="19"/>
              <w:spacing w:line="440" w:lineRule="exact"/>
              <w:ind w:firstLine="0" w:firstLineChars="0"/>
              <w:jc w:val="center"/>
              <w:rPr>
                <w:rFonts w:ascii="仿宋" w:hAnsi="仿宋" w:eastAsia="仿宋" w:cs="仿宋"/>
                <w:szCs w:val="21"/>
              </w:rPr>
            </w:pPr>
            <w:r>
              <w:rPr>
                <w:rFonts w:hint="eastAsia" w:ascii="仿宋" w:hAnsi="仿宋" w:eastAsia="仿宋" w:cs="仿宋"/>
                <w:szCs w:val="21"/>
              </w:rPr>
              <w:t>企业技术改造项目</w:t>
            </w:r>
          </w:p>
        </w:tc>
        <w:tc>
          <w:tcPr>
            <w:tcW w:w="2542" w:type="dxa"/>
            <w:vAlign w:val="center"/>
          </w:tcPr>
          <w:p>
            <w:pPr>
              <w:widowControl/>
              <w:spacing w:line="440" w:lineRule="exact"/>
              <w:ind w:firstLine="0" w:firstLineChars="0"/>
              <w:textAlignment w:val="center"/>
              <w:rPr>
                <w:rFonts w:eastAsia="仿宋_GB2312" w:cs="Times New Roman"/>
                <w:kern w:val="0"/>
                <w:sz w:val="21"/>
                <w:szCs w:val="21"/>
              </w:rPr>
            </w:pPr>
            <w:r>
              <w:rPr>
                <w:rFonts w:eastAsia="仿宋_GB2312" w:cs="Times New Roman"/>
                <w:kern w:val="0"/>
                <w:sz w:val="21"/>
                <w:szCs w:val="21"/>
              </w:rPr>
              <w:t>新能源汽车空调总成（热泵管理系统）及关键零部件制造项目</w:t>
            </w:r>
          </w:p>
        </w:tc>
        <w:tc>
          <w:tcPr>
            <w:tcW w:w="7077" w:type="dxa"/>
            <w:vAlign w:val="center"/>
          </w:tcPr>
          <w:p>
            <w:pPr>
              <w:widowControl/>
              <w:spacing w:line="360" w:lineRule="exact"/>
              <w:ind w:firstLine="420"/>
              <w:jc w:val="left"/>
              <w:textAlignment w:val="center"/>
              <w:rPr>
                <w:rFonts w:eastAsia="仿宋_GB2312" w:cs="Times New Roman"/>
                <w:kern w:val="0"/>
                <w:sz w:val="21"/>
                <w:szCs w:val="21"/>
              </w:rPr>
            </w:pPr>
            <w:r>
              <w:rPr>
                <w:rFonts w:hint="eastAsia" w:eastAsia="仿宋_GB2312" w:cs="Times New Roman"/>
                <w:kern w:val="0"/>
                <w:sz w:val="21"/>
                <w:szCs w:val="21"/>
              </w:rPr>
              <w:t>总</w:t>
            </w:r>
            <w:r>
              <w:rPr>
                <w:rFonts w:eastAsia="仿宋_GB2312" w:cs="Times New Roman"/>
                <w:kern w:val="0"/>
                <w:sz w:val="21"/>
                <w:szCs w:val="21"/>
              </w:rPr>
              <w:t>用地面积57亩，研发生产新能源汽车空调总成（热泵管理系统）及新能源汽车用车阀、水泵、电池冷却板等关键零部件</w:t>
            </w:r>
          </w:p>
        </w:tc>
        <w:tc>
          <w:tcPr>
            <w:tcW w:w="1523" w:type="dxa"/>
            <w:vAlign w:val="center"/>
          </w:tcPr>
          <w:p>
            <w:pPr>
              <w:widowControl/>
              <w:spacing w:line="440" w:lineRule="exact"/>
              <w:ind w:firstLine="0" w:firstLineChars="0"/>
              <w:jc w:val="center"/>
              <w:textAlignment w:val="center"/>
              <w:rPr>
                <w:rFonts w:eastAsia="仿宋_GB2312" w:cs="Times New Roman"/>
                <w:kern w:val="0"/>
                <w:sz w:val="21"/>
                <w:szCs w:val="21"/>
              </w:rPr>
            </w:pPr>
            <w:r>
              <w:rPr>
                <w:rFonts w:hint="eastAsia" w:eastAsia="仿宋_GB2312"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4</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adjustRightInd w:val="0"/>
              <w:snapToGrid w:val="0"/>
              <w:spacing w:line="440" w:lineRule="exact"/>
              <w:ind w:firstLine="0" w:firstLineChars="0"/>
              <w:rPr>
                <w:rFonts w:eastAsia="仿宋_GB2312" w:cs="Times New Roman"/>
                <w:kern w:val="0"/>
                <w:sz w:val="21"/>
                <w:szCs w:val="21"/>
              </w:rPr>
            </w:pPr>
            <w:r>
              <w:rPr>
                <w:rFonts w:eastAsia="仿宋_GB2312" w:cs="Times New Roman"/>
                <w:kern w:val="0"/>
                <w:sz w:val="21"/>
                <w:szCs w:val="21"/>
              </w:rPr>
              <w:t>年产100万台新能源汽车环保型空调压缩机生产线建设项目</w:t>
            </w:r>
          </w:p>
        </w:tc>
        <w:tc>
          <w:tcPr>
            <w:tcW w:w="7077" w:type="dxa"/>
            <w:vAlign w:val="center"/>
          </w:tcPr>
          <w:p>
            <w:pPr>
              <w:widowControl/>
              <w:adjustRightInd w:val="0"/>
              <w:snapToGrid w:val="0"/>
              <w:spacing w:line="360" w:lineRule="exact"/>
              <w:ind w:firstLine="420"/>
              <w:rPr>
                <w:rFonts w:eastAsia="仿宋_GB2312" w:cs="Times New Roman"/>
                <w:kern w:val="0"/>
                <w:sz w:val="21"/>
                <w:szCs w:val="21"/>
              </w:rPr>
            </w:pPr>
            <w:r>
              <w:rPr>
                <w:rFonts w:hint="eastAsia" w:eastAsia="仿宋_GB2312" w:cs="Times New Roman"/>
                <w:kern w:val="0"/>
                <w:sz w:val="21"/>
                <w:szCs w:val="21"/>
              </w:rPr>
              <w:t>总</w:t>
            </w:r>
            <w:r>
              <w:rPr>
                <w:rFonts w:eastAsia="仿宋_GB2312" w:cs="Times New Roman"/>
                <w:kern w:val="0"/>
                <w:sz w:val="21"/>
                <w:szCs w:val="21"/>
              </w:rPr>
              <w:t>用地面积94572平米，建筑面积83764平米。</w:t>
            </w:r>
          </w:p>
        </w:tc>
        <w:tc>
          <w:tcPr>
            <w:tcW w:w="1523" w:type="dxa"/>
            <w:vAlign w:val="center"/>
          </w:tcPr>
          <w:p>
            <w:pPr>
              <w:widowControl/>
              <w:adjustRightInd w:val="0"/>
              <w:snapToGrid w:val="0"/>
              <w:spacing w:line="440" w:lineRule="exact"/>
              <w:ind w:firstLine="0" w:firstLineChars="0"/>
              <w:jc w:val="center"/>
              <w:rPr>
                <w:rFonts w:eastAsia="仿宋_GB2312" w:cs="Times New Roman"/>
                <w:kern w:val="0"/>
                <w:sz w:val="21"/>
                <w:szCs w:val="21"/>
              </w:rPr>
            </w:pPr>
            <w:r>
              <w:rPr>
                <w:rFonts w:eastAsia="仿宋_GB2312" w:cs="Times New Roman"/>
                <w:kern w:val="0"/>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5</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adjustRightInd w:val="0"/>
              <w:snapToGrid w:val="0"/>
              <w:spacing w:line="440" w:lineRule="exact"/>
              <w:ind w:firstLine="0" w:firstLineChars="0"/>
              <w:rPr>
                <w:rFonts w:eastAsia="仿宋_GB2312" w:cs="Times New Roman"/>
                <w:kern w:val="0"/>
                <w:sz w:val="21"/>
                <w:szCs w:val="21"/>
              </w:rPr>
            </w:pPr>
            <w:r>
              <w:rPr>
                <w:rFonts w:eastAsia="仿宋_GB2312" w:cs="Times New Roman"/>
                <w:kern w:val="0"/>
                <w:sz w:val="21"/>
                <w:szCs w:val="21"/>
              </w:rPr>
              <w:t>年产500万套木制玩具生产线建设项目</w:t>
            </w:r>
          </w:p>
        </w:tc>
        <w:tc>
          <w:tcPr>
            <w:tcW w:w="7077" w:type="dxa"/>
            <w:vAlign w:val="center"/>
          </w:tcPr>
          <w:p>
            <w:pPr>
              <w:widowControl/>
              <w:adjustRightInd w:val="0"/>
              <w:snapToGrid w:val="0"/>
              <w:spacing w:line="360" w:lineRule="exact"/>
              <w:ind w:firstLine="420"/>
              <w:rPr>
                <w:rFonts w:eastAsia="仿宋_GB2312" w:cs="Times New Roman"/>
                <w:kern w:val="0"/>
                <w:sz w:val="21"/>
                <w:szCs w:val="21"/>
              </w:rPr>
            </w:pPr>
            <w:r>
              <w:rPr>
                <w:rFonts w:eastAsia="仿宋_GB2312" w:cs="Times New Roman"/>
                <w:kern w:val="0"/>
                <w:sz w:val="21"/>
                <w:szCs w:val="21"/>
              </w:rPr>
              <w:t>总用地面积34186平方米，总建筑面积76023.13平方米（具体以规划部门核定面积为准）。主要建设内容为厂房、附属用房及相关配套设施等。</w:t>
            </w:r>
          </w:p>
        </w:tc>
        <w:tc>
          <w:tcPr>
            <w:tcW w:w="1523" w:type="dxa"/>
            <w:vAlign w:val="center"/>
          </w:tcPr>
          <w:p>
            <w:pPr>
              <w:widowControl/>
              <w:adjustRightInd w:val="0"/>
              <w:snapToGrid w:val="0"/>
              <w:spacing w:line="440" w:lineRule="exact"/>
              <w:ind w:firstLine="0" w:firstLineChars="0"/>
              <w:jc w:val="center"/>
              <w:rPr>
                <w:rFonts w:eastAsia="仿宋_GB2312" w:cs="Times New Roman"/>
                <w:kern w:val="0"/>
                <w:sz w:val="21"/>
                <w:szCs w:val="21"/>
              </w:rPr>
            </w:pPr>
            <w:r>
              <w:rPr>
                <w:rFonts w:eastAsia="仿宋_GB2312" w:cs="Times New Roman"/>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62" w:type="dxa"/>
            <w:vAlign w:val="center"/>
          </w:tcPr>
          <w:p>
            <w:pPr>
              <w:pStyle w:val="19"/>
              <w:spacing w:line="440" w:lineRule="exact"/>
              <w:ind w:firstLine="0" w:firstLineChars="0"/>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6</w:t>
            </w:r>
          </w:p>
        </w:tc>
        <w:tc>
          <w:tcPr>
            <w:tcW w:w="1253" w:type="dxa"/>
            <w:vMerge w:val="continue"/>
            <w:vAlign w:val="center"/>
          </w:tcPr>
          <w:p>
            <w:pPr>
              <w:pStyle w:val="19"/>
              <w:spacing w:line="440" w:lineRule="exact"/>
              <w:ind w:firstLine="0" w:firstLineChars="0"/>
              <w:jc w:val="center"/>
              <w:rPr>
                <w:rFonts w:ascii="仿宋" w:hAnsi="仿宋" w:eastAsia="仿宋" w:cs="仿宋"/>
                <w:szCs w:val="21"/>
              </w:rPr>
            </w:pPr>
          </w:p>
        </w:tc>
        <w:tc>
          <w:tcPr>
            <w:tcW w:w="2542" w:type="dxa"/>
            <w:vAlign w:val="center"/>
          </w:tcPr>
          <w:p>
            <w:pPr>
              <w:widowControl/>
              <w:spacing w:line="440" w:lineRule="exact"/>
              <w:ind w:firstLine="0" w:firstLineChars="0"/>
              <w:textAlignment w:val="center"/>
              <w:rPr>
                <w:rFonts w:eastAsia="仿宋_GB2312" w:cs="Times New Roman"/>
                <w:kern w:val="0"/>
                <w:sz w:val="21"/>
                <w:szCs w:val="21"/>
              </w:rPr>
            </w:pPr>
            <w:r>
              <w:rPr>
                <w:rFonts w:hint="eastAsia" w:eastAsia="仿宋_GB2312" w:cs="Times New Roman"/>
                <w:kern w:val="0"/>
                <w:sz w:val="21"/>
                <w:szCs w:val="21"/>
              </w:rPr>
              <w:t>年产3000万件竹木家居生产基地建设项目</w:t>
            </w:r>
          </w:p>
        </w:tc>
        <w:tc>
          <w:tcPr>
            <w:tcW w:w="7077" w:type="dxa"/>
            <w:vAlign w:val="center"/>
          </w:tcPr>
          <w:p>
            <w:pPr>
              <w:widowControl/>
              <w:spacing w:line="360" w:lineRule="exact"/>
              <w:ind w:firstLine="420"/>
              <w:textAlignment w:val="center"/>
              <w:rPr>
                <w:rFonts w:eastAsia="仿宋_GB2312" w:cs="Times New Roman"/>
                <w:kern w:val="0"/>
                <w:sz w:val="21"/>
                <w:szCs w:val="21"/>
              </w:rPr>
            </w:pPr>
            <w:r>
              <w:rPr>
                <w:rFonts w:eastAsia="仿宋_GB2312" w:cs="Times New Roman"/>
                <w:kern w:val="0"/>
                <w:sz w:val="21"/>
                <w:szCs w:val="21"/>
              </w:rPr>
              <w:t>总用地面积44086平方米，总建筑面积约64420平方米（具体以规划部门核定面积为准）。主要建设内容为厂房、附属用房及相关配套设施</w:t>
            </w:r>
            <w:r>
              <w:rPr>
                <w:rFonts w:hint="eastAsia" w:eastAsia="仿宋_GB2312" w:cs="Times New Roman"/>
                <w:kern w:val="0"/>
                <w:sz w:val="21"/>
                <w:szCs w:val="21"/>
              </w:rPr>
              <w:t>及生产线</w:t>
            </w:r>
            <w:r>
              <w:rPr>
                <w:rFonts w:eastAsia="仿宋_GB2312" w:cs="Times New Roman"/>
                <w:kern w:val="0"/>
                <w:sz w:val="21"/>
                <w:szCs w:val="21"/>
              </w:rPr>
              <w:t>等</w:t>
            </w:r>
            <w:r>
              <w:rPr>
                <w:rFonts w:hint="eastAsia" w:eastAsia="仿宋_GB2312" w:cs="Times New Roman"/>
                <w:kern w:val="0"/>
                <w:sz w:val="21"/>
                <w:szCs w:val="21"/>
              </w:rPr>
              <w:t>.</w:t>
            </w:r>
          </w:p>
        </w:tc>
        <w:tc>
          <w:tcPr>
            <w:tcW w:w="1523" w:type="dxa"/>
            <w:vAlign w:val="center"/>
          </w:tcPr>
          <w:p>
            <w:pPr>
              <w:widowControl/>
              <w:spacing w:line="440" w:lineRule="exact"/>
              <w:ind w:firstLine="0" w:firstLineChars="0"/>
              <w:jc w:val="center"/>
              <w:textAlignment w:val="center"/>
              <w:rPr>
                <w:rFonts w:eastAsia="仿宋_GB2312" w:cs="Times New Roman"/>
                <w:kern w:val="0"/>
                <w:sz w:val="21"/>
                <w:szCs w:val="21"/>
              </w:rPr>
            </w:pPr>
            <w:r>
              <w:rPr>
                <w:rFonts w:hint="eastAsia" w:eastAsia="仿宋_GB2312" w:cs="Times New Roman"/>
                <w:kern w:val="0"/>
                <w:sz w:val="21"/>
                <w:szCs w:val="21"/>
              </w:rPr>
              <w:t>2</w:t>
            </w:r>
          </w:p>
        </w:tc>
      </w:tr>
    </w:tbl>
    <w:p>
      <w:pPr>
        <w:pStyle w:val="19"/>
        <w:ind w:firstLine="0" w:firstLineChars="0"/>
        <w:rPr>
          <w:rFonts w:ascii="仿宋" w:hAnsi="仿宋" w:eastAsia="仿宋" w:cs="仿宋"/>
          <w:sz w:val="22"/>
          <w:szCs w:val="22"/>
        </w:rPr>
      </w:pPr>
    </w:p>
    <w:p>
      <w:pPr>
        <w:widowControl/>
        <w:spacing w:line="240" w:lineRule="auto"/>
        <w:ind w:firstLine="0" w:firstLineChars="0"/>
        <w:jc w:val="left"/>
        <w:rPr>
          <w:rFonts w:eastAsia="仿宋_GB2312" w:cs="Times New Roman"/>
          <w:kern w:val="0"/>
          <w:sz w:val="32"/>
          <w:szCs w:val="32"/>
        </w:rPr>
        <w:sectPr>
          <w:headerReference r:id="rId13" w:type="default"/>
          <w:footerReference r:id="rId14" w:type="default"/>
          <w:pgSz w:w="16838" w:h="11906" w:orient="landscape"/>
          <w:pgMar w:top="1800" w:right="1610" w:bottom="1800" w:left="1610" w:header="851" w:footer="992" w:gutter="0"/>
          <w:cols w:space="425" w:num="1"/>
          <w:docGrid w:type="lines" w:linePitch="312" w:charSpace="0"/>
        </w:sectPr>
      </w:pPr>
    </w:p>
    <w:p>
      <w:pPr>
        <w:pStyle w:val="52"/>
        <w:ind w:firstLine="0" w:firstLineChars="0"/>
        <w:rPr>
          <w:sz w:val="28"/>
          <w:szCs w:val="28"/>
        </w:rPr>
      </w:pPr>
      <w:bookmarkStart w:id="81" w:name="_Toc14588"/>
      <w:bookmarkStart w:id="82" w:name="_Toc25912"/>
      <w:r>
        <w:rPr>
          <w:rFonts w:hint="eastAsia"/>
          <w:sz w:val="28"/>
          <w:szCs w:val="28"/>
        </w:rPr>
        <w:t>附件二：龙泉市 “十四五”重点外贸企业培育表</w:t>
      </w:r>
      <w:bookmarkEnd w:id="81"/>
      <w:bookmarkEnd w:id="82"/>
    </w:p>
    <w:tbl>
      <w:tblPr>
        <w:tblStyle w:val="21"/>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4014"/>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800" w:type="dxa"/>
            <w:vAlign w:val="center"/>
          </w:tcPr>
          <w:p>
            <w:pPr>
              <w:pStyle w:val="51"/>
              <w:spacing w:line="20" w:lineRule="atLeast"/>
              <w:ind w:firstLine="0" w:firstLineChars="0"/>
              <w:jc w:val="center"/>
              <w:rPr>
                <w:rFonts w:ascii="仿宋" w:hAnsi="仿宋" w:eastAsia="仿宋" w:cs="仿宋"/>
                <w:b/>
                <w:bCs/>
                <w:sz w:val="28"/>
                <w:szCs w:val="28"/>
              </w:rPr>
            </w:pPr>
            <w:r>
              <w:rPr>
                <w:rFonts w:hint="eastAsia" w:ascii="仿宋" w:hAnsi="仿宋" w:eastAsia="仿宋" w:cs="仿宋"/>
                <w:b/>
                <w:bCs/>
                <w:sz w:val="28"/>
                <w:szCs w:val="28"/>
              </w:rPr>
              <w:t>培育目标</w:t>
            </w:r>
          </w:p>
        </w:tc>
        <w:tc>
          <w:tcPr>
            <w:tcW w:w="4014" w:type="dxa"/>
            <w:vAlign w:val="center"/>
          </w:tcPr>
          <w:p>
            <w:pPr>
              <w:pStyle w:val="51"/>
              <w:spacing w:line="20" w:lineRule="atLeast"/>
              <w:ind w:firstLine="0" w:firstLineChars="0"/>
              <w:jc w:val="center"/>
              <w:rPr>
                <w:rFonts w:ascii="仿宋" w:hAnsi="仿宋" w:eastAsia="仿宋" w:cs="仿宋"/>
                <w:b/>
                <w:bCs/>
                <w:sz w:val="28"/>
                <w:szCs w:val="28"/>
              </w:rPr>
            </w:pPr>
            <w:r>
              <w:rPr>
                <w:rFonts w:hint="eastAsia" w:ascii="仿宋" w:hAnsi="仿宋" w:eastAsia="仿宋" w:cs="仿宋"/>
                <w:b/>
                <w:bCs/>
                <w:sz w:val="28"/>
                <w:szCs w:val="28"/>
              </w:rPr>
              <w:t>培育企业名称</w:t>
            </w:r>
          </w:p>
        </w:tc>
        <w:tc>
          <w:tcPr>
            <w:tcW w:w="1804" w:type="dxa"/>
            <w:vAlign w:val="center"/>
          </w:tcPr>
          <w:p>
            <w:pPr>
              <w:pStyle w:val="51"/>
              <w:spacing w:line="20" w:lineRule="atLeast"/>
              <w:ind w:firstLine="0" w:firstLineChars="0"/>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800" w:type="dxa"/>
            <w:vMerge w:val="restart"/>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到2025年出口超5千万美元（</w:t>
            </w:r>
            <w:r>
              <w:rPr>
                <w:rFonts w:hint="eastAsia" w:ascii="仿宋" w:hAnsi="仿宋" w:eastAsia="仿宋" w:cs="仿宋"/>
                <w:sz w:val="24"/>
                <w:szCs w:val="24"/>
                <w:lang w:eastAsia="zh-CN"/>
              </w:rPr>
              <w:t>5</w:t>
            </w:r>
            <w:r>
              <w:rPr>
                <w:rFonts w:hint="eastAsia" w:ascii="仿宋" w:hAnsi="仿宋" w:eastAsia="仿宋" w:cs="仿宋"/>
                <w:sz w:val="24"/>
                <w:szCs w:val="24"/>
              </w:rPr>
              <w:t>家）</w:t>
            </w:r>
          </w:p>
        </w:tc>
        <w:tc>
          <w:tcPr>
            <w:tcW w:w="4014" w:type="dxa"/>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浙江三田汽车空调压缩机有限公司</w:t>
            </w:r>
          </w:p>
        </w:tc>
        <w:tc>
          <w:tcPr>
            <w:tcW w:w="1804" w:type="dxa"/>
            <w:vMerge w:val="restart"/>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培育现有企业2家，争取新引进（培育）3家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浙江能福旅游用品有限公司</w:t>
            </w:r>
          </w:p>
        </w:tc>
        <w:tc>
          <w:tcPr>
            <w:tcW w:w="1804" w:type="dxa"/>
            <w:vMerge w:val="continue"/>
            <w:vAlign w:val="center"/>
          </w:tcPr>
          <w:p>
            <w:pPr>
              <w:pStyle w:val="51"/>
              <w:spacing w:line="20" w:lineRule="atLeast"/>
              <w:ind w:firstLine="0" w:firstLineChars="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restart"/>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到2025年出口超2千万美元（10家）</w:t>
            </w: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浙江银隆不锈钢有限公司</w:t>
            </w:r>
          </w:p>
        </w:tc>
        <w:tc>
          <w:tcPr>
            <w:tcW w:w="1804" w:type="dxa"/>
            <w:vMerge w:val="restart"/>
            <w:vAlign w:val="center"/>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szCs w:val="24"/>
              </w:rPr>
              <w:t>培育现有企业8家，争取新引进（培育）2家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浙江创新汽车空调有限公司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浙江施克汽车配件有限公司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浙江三田滤清器有限公司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浙江毅力汽车空调有限公司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浙江松信汽车空调有限公司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浙江新劲空调设备有限公司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vAlign w:val="center"/>
          </w:tcPr>
          <w:p>
            <w:pPr>
              <w:widowControl/>
              <w:spacing w:line="20" w:lineRule="atLeast"/>
              <w:ind w:firstLine="0" w:firstLineChars="0"/>
              <w:jc w:val="center"/>
              <w:textAlignment w:val="bottom"/>
              <w:rPr>
                <w:rFonts w:ascii="仿宋" w:hAnsi="仿宋" w:eastAsia="仿宋" w:cs="仿宋"/>
                <w:szCs w:val="24"/>
              </w:rPr>
            </w:pPr>
            <w:r>
              <w:rPr>
                <w:rFonts w:hint="eastAsia" w:ascii="仿宋" w:hAnsi="仿宋" w:eastAsia="仿宋" w:cs="仿宋"/>
                <w:color w:val="000000"/>
                <w:kern w:val="0"/>
                <w:szCs w:val="24"/>
              </w:rPr>
              <w:t>浙江兰通空调设备有限公司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restart"/>
            <w:vAlign w:val="center"/>
          </w:tcPr>
          <w:p>
            <w:pPr>
              <w:pStyle w:val="51"/>
              <w:spacing w:line="20" w:lineRule="atLeast"/>
              <w:ind w:firstLine="0" w:firstLineChars="0"/>
              <w:jc w:val="center"/>
              <w:rPr>
                <w:rFonts w:ascii="仿宋" w:hAnsi="仿宋" w:eastAsia="仿宋" w:cs="仿宋"/>
                <w:sz w:val="24"/>
                <w:szCs w:val="24"/>
              </w:rPr>
            </w:pPr>
            <w:r>
              <w:rPr>
                <w:rFonts w:hint="eastAsia" w:ascii="仿宋" w:hAnsi="仿宋" w:eastAsia="仿宋" w:cs="仿宋"/>
                <w:sz w:val="24"/>
                <w:szCs w:val="24"/>
              </w:rPr>
              <w:t>到2025年出口超1千万美元（15家）</w:t>
            </w: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浙江奔际不锈钢有限公司</w:t>
            </w:r>
          </w:p>
        </w:tc>
        <w:tc>
          <w:tcPr>
            <w:tcW w:w="1804" w:type="dxa"/>
            <w:vMerge w:val="restart"/>
            <w:vAlign w:val="center"/>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szCs w:val="24"/>
              </w:rPr>
              <w:t>培育现有企业8家，争取新引进（培育）7家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浙江郑氏刀剑有限公司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浙江兴华休闲用品有限公司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龙泉市中泰汽车空调有限公司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浙江欧特立汽车空调有限公司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浙江亿奇木业有限公司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浙江立丰机械零部件有限公司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00" w:type="dxa"/>
            <w:vMerge w:val="continue"/>
            <w:vAlign w:val="center"/>
          </w:tcPr>
          <w:p>
            <w:pPr>
              <w:pStyle w:val="51"/>
              <w:spacing w:line="20" w:lineRule="atLeast"/>
              <w:ind w:firstLine="0" w:firstLineChars="0"/>
              <w:jc w:val="center"/>
              <w:rPr>
                <w:rFonts w:ascii="仿宋" w:hAnsi="仿宋" w:eastAsia="仿宋" w:cs="仿宋"/>
                <w:sz w:val="24"/>
                <w:szCs w:val="24"/>
              </w:rPr>
            </w:pPr>
          </w:p>
        </w:tc>
        <w:tc>
          <w:tcPr>
            <w:tcW w:w="4014" w:type="dxa"/>
          </w:tcPr>
          <w:p>
            <w:pPr>
              <w:widowControl/>
              <w:spacing w:line="20" w:lineRule="atLeast"/>
              <w:ind w:firstLine="0" w:firstLineChars="0"/>
              <w:jc w:val="center"/>
              <w:textAlignment w:val="bottom"/>
              <w:rPr>
                <w:rFonts w:ascii="仿宋" w:hAnsi="仿宋" w:eastAsia="仿宋" w:cs="仿宋"/>
                <w:color w:val="000000"/>
                <w:kern w:val="0"/>
                <w:szCs w:val="24"/>
              </w:rPr>
            </w:pPr>
            <w:r>
              <w:rPr>
                <w:rFonts w:hint="eastAsia" w:ascii="仿宋" w:hAnsi="仿宋" w:eastAsia="仿宋" w:cs="仿宋"/>
                <w:color w:val="000000"/>
                <w:kern w:val="0"/>
                <w:szCs w:val="24"/>
              </w:rPr>
              <w:t>浙江欧亚迪汽车空调器有限公司</w:t>
            </w:r>
          </w:p>
        </w:tc>
        <w:tc>
          <w:tcPr>
            <w:tcW w:w="1804" w:type="dxa"/>
            <w:vMerge w:val="continue"/>
            <w:vAlign w:val="center"/>
          </w:tcPr>
          <w:p>
            <w:pPr>
              <w:widowControl/>
              <w:spacing w:line="20" w:lineRule="atLeast"/>
              <w:ind w:firstLine="480"/>
              <w:jc w:val="center"/>
              <w:textAlignment w:val="bottom"/>
              <w:rPr>
                <w:rFonts w:ascii="仿宋" w:hAnsi="仿宋" w:eastAsia="仿宋" w:cs="仿宋"/>
                <w:color w:val="000000"/>
                <w:kern w:val="0"/>
                <w:szCs w:val="24"/>
              </w:rPr>
            </w:pPr>
          </w:p>
        </w:tc>
      </w:tr>
    </w:tbl>
    <w:p>
      <w:pPr>
        <w:widowControl/>
        <w:spacing w:line="240" w:lineRule="auto"/>
        <w:ind w:firstLine="0" w:firstLineChars="0"/>
        <w:jc w:val="left"/>
        <w:rPr>
          <w:rFonts w:eastAsia="仿宋_GB2312" w:cs="Times New Roman"/>
          <w:kern w:val="0"/>
          <w:sz w:val="32"/>
          <w:szCs w:val="32"/>
        </w:rPr>
      </w:pPr>
    </w:p>
    <w:sectPr>
      <w:pgSz w:w="11906" w:h="16838"/>
      <w:pgMar w:top="1610" w:right="1800" w:bottom="161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pict>
        <v:shape id="4098"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ind w:firstLine="360"/>
                </w:pPr>
                <w:r>
                  <w:fldChar w:fldCharType="begin"/>
                </w:r>
                <w:r>
                  <w:instrText xml:space="preserve"> PAGE  \* MERGEFORMAT </w:instrText>
                </w:r>
                <w:r>
                  <w:fldChar w:fldCharType="separate"/>
                </w:r>
                <w:r>
                  <w:t>9</w:t>
                </w:r>
                <w:r>
                  <w:fldChar w:fldCharType="end"/>
                </w:r>
              </w:p>
            </w:txbxContent>
          </v:textbox>
        </v:shape>
      </w:pict>
    </w:r>
  </w:p>
  <w:p>
    <w:pPr>
      <w:pStyle w:val="11"/>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both"/>
    </w:pPr>
    <w:r>
      <w:pict>
        <v:shape id="4099"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ind w:firstLine="0" w:firstLineChars="0"/>
                </w:pPr>
                <w:r>
                  <w:fldChar w:fldCharType="begin"/>
                </w:r>
                <w:r>
                  <w:instrText xml:space="preserve"> PAGE  \* MERGEFORMAT </w:instrText>
                </w:r>
                <w:r>
                  <w:fldChar w:fldCharType="separate"/>
                </w:r>
                <w:r>
                  <w:t>2</w:t>
                </w:r>
                <w:r>
                  <w:fldChar w:fldCharType="end"/>
                </w:r>
              </w:p>
            </w:txbxContent>
          </v:textbox>
        </v:shape>
      </w:pict>
    </w:r>
  </w:p>
  <w:p>
    <w:pPr>
      <w:pStyle w:val="11"/>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pict>
        <v:shape id="4100"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ind w:firstLine="360"/>
                </w:pPr>
                <w:r>
                  <w:fldChar w:fldCharType="begin"/>
                </w:r>
                <w:r>
                  <w:instrText xml:space="preserve"> PAGE  \* MERGEFORMAT </w:instrText>
                </w:r>
                <w:r>
                  <w:fldChar w:fldCharType="separate"/>
                </w:r>
                <w:r>
                  <w:t>19</w:t>
                </w:r>
                <w:r>
                  <w:fldChar w:fldCharType="end"/>
                </w:r>
              </w:p>
            </w:txbxContent>
          </v:textbox>
        </v:shape>
      </w:pict>
    </w:r>
  </w:p>
  <w:p>
    <w:pPr>
      <w:pStyle w:val="11"/>
      <w:ind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pict>
        <v:shape id="4101"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ind w:firstLine="360"/>
                </w:pPr>
                <w:r>
                  <w:fldChar w:fldCharType="begin"/>
                </w:r>
                <w:r>
                  <w:instrText xml:space="preserve"> PAGE  \* MERGEFORMAT </w:instrText>
                </w:r>
                <w:r>
                  <w:fldChar w:fldCharType="separate"/>
                </w:r>
                <w:r>
                  <w:t>25</w:t>
                </w:r>
                <w:r>
                  <w:fldChar w:fldCharType="end"/>
                </w:r>
              </w:p>
            </w:txbxContent>
          </v:textbox>
        </v:shape>
      </w:pict>
    </w:r>
  </w:p>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45"/>
      <w:lvlText w:val="（%1）"/>
      <w:lvlJc w:val="left"/>
      <w:pPr>
        <w:ind w:left="1265" w:hanging="420"/>
      </w:pPr>
      <w:rPr>
        <w:rFonts w:hint="eastAsia"/>
        <w:b w:val="0"/>
        <w:bCs w:val="0"/>
        <w:i w:val="0"/>
        <w:iCs w:val="0"/>
        <w:caps w:val="0"/>
        <w:smallCaps w:val="0"/>
        <w:outline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tentative="0">
      <w:start w:val="1"/>
      <w:numFmt w:val="lowerLetter"/>
      <w:lvlText w:val="%2)"/>
      <w:lvlJc w:val="left"/>
      <w:pPr>
        <w:ind w:left="1999" w:hanging="420"/>
      </w:pPr>
    </w:lvl>
    <w:lvl w:ilvl="2" w:tentative="0">
      <w:start w:val="1"/>
      <w:numFmt w:val="lowerRoman"/>
      <w:lvlText w:val="%3."/>
      <w:lvlJc w:val="right"/>
      <w:pPr>
        <w:ind w:left="2419" w:hanging="420"/>
      </w:pPr>
    </w:lvl>
    <w:lvl w:ilvl="3" w:tentative="0">
      <w:start w:val="1"/>
      <w:numFmt w:val="decimal"/>
      <w:lvlText w:val="%4."/>
      <w:lvlJc w:val="left"/>
      <w:pPr>
        <w:ind w:left="2839" w:hanging="420"/>
      </w:pPr>
    </w:lvl>
    <w:lvl w:ilvl="4" w:tentative="0">
      <w:start w:val="1"/>
      <w:numFmt w:val="lowerLetter"/>
      <w:lvlText w:val="%5)"/>
      <w:lvlJc w:val="left"/>
      <w:pPr>
        <w:ind w:left="3259" w:hanging="420"/>
      </w:pPr>
    </w:lvl>
    <w:lvl w:ilvl="5" w:tentative="0">
      <w:start w:val="1"/>
      <w:numFmt w:val="lowerRoman"/>
      <w:lvlText w:val="%6."/>
      <w:lvlJc w:val="right"/>
      <w:pPr>
        <w:ind w:left="3679" w:hanging="420"/>
      </w:pPr>
    </w:lvl>
    <w:lvl w:ilvl="6" w:tentative="0">
      <w:start w:val="1"/>
      <w:numFmt w:val="decimal"/>
      <w:lvlText w:val="%7."/>
      <w:lvlJc w:val="left"/>
      <w:pPr>
        <w:ind w:left="4099" w:hanging="420"/>
      </w:pPr>
    </w:lvl>
    <w:lvl w:ilvl="7" w:tentative="0">
      <w:start w:val="1"/>
      <w:numFmt w:val="lowerLetter"/>
      <w:lvlText w:val="%8)"/>
      <w:lvlJc w:val="left"/>
      <w:pPr>
        <w:ind w:left="4519" w:hanging="420"/>
      </w:pPr>
    </w:lvl>
    <w:lvl w:ilvl="8" w:tentative="0">
      <w:start w:val="1"/>
      <w:numFmt w:val="lowerRoman"/>
      <w:lvlText w:val="%9."/>
      <w:lvlJc w:val="right"/>
      <w:pPr>
        <w:ind w:left="4939" w:hanging="420"/>
      </w:pPr>
    </w:lvl>
  </w:abstractNum>
  <w:abstractNum w:abstractNumId="1">
    <w:nsid w:val="00000002"/>
    <w:multiLevelType w:val="multilevel"/>
    <w:tmpl w:val="00000002"/>
    <w:lvl w:ilvl="0" w:tentative="0">
      <w:start w:val="1"/>
      <w:numFmt w:val="decimal"/>
      <w:pStyle w:val="43"/>
      <w:suff w:val="space"/>
      <w:lvlText w:val="（%1）"/>
      <w:lvlJc w:val="left"/>
      <w:pPr>
        <w:ind w:left="1820" w:hanging="420"/>
      </w:pPr>
      <w:rPr>
        <w:rFonts w:ascii="Times New Roman" w:hAnsi="Times New Roman" w:cs="Times New Roman"/>
        <w:b w:val="0"/>
        <w:bCs w:val="0"/>
        <w:i w:val="0"/>
        <w:iCs w:val="0"/>
        <w:caps w:val="0"/>
        <w:smallCaps w:val="0"/>
        <w:outline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03"/>
    <w:multiLevelType w:val="multilevel"/>
    <w:tmpl w:val="00000003"/>
    <w:lvl w:ilvl="0" w:tentative="0">
      <w:start w:val="1"/>
      <w:numFmt w:val="decimal"/>
      <w:pStyle w:val="3"/>
      <w:suff w:val="space"/>
      <w:lvlText w:val="%1"/>
      <w:lvlJc w:val="center"/>
      <w:pPr>
        <w:ind w:left="4678" w:firstLine="0"/>
      </w:pPr>
      <w:rPr>
        <w:rFonts w:hint="default" w:ascii="Times New Roman" w:hAnsi="Times New Roman" w:eastAsia="黑体"/>
        <w:sz w:val="32"/>
      </w:rPr>
    </w:lvl>
    <w:lvl w:ilvl="1" w:tentative="0">
      <w:start w:val="1"/>
      <w:numFmt w:val="decimal"/>
      <w:pStyle w:val="4"/>
      <w:suff w:val="space"/>
      <w:lvlText w:val="%1.%2"/>
      <w:lvlJc w:val="left"/>
      <w:pPr>
        <w:ind w:left="425" w:firstLine="0"/>
      </w:pPr>
      <w:rPr>
        <w:rFonts w:hint="default" w:ascii="Times New Roman" w:hAnsi="Times New Roman" w:eastAsia="黑体"/>
        <w:b w:val="0"/>
        <w:i w:val="0"/>
        <w:sz w:val="30"/>
      </w:rPr>
    </w:lvl>
    <w:lvl w:ilvl="2" w:tentative="0">
      <w:start w:val="1"/>
      <w:numFmt w:val="decimal"/>
      <w:pStyle w:val="5"/>
      <w:suff w:val="space"/>
      <w:lvlText w:val="%1.%2.%3"/>
      <w:lvlJc w:val="left"/>
      <w:pPr>
        <w:ind w:left="0" w:firstLine="0"/>
      </w:pPr>
      <w:rPr>
        <w:rFonts w:hint="default" w:ascii="Times New Roman" w:hAnsi="Times New Roman" w:eastAsia="黑体"/>
        <w:sz w:val="28"/>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nforcement="0"/>
  <w:defaultTabStop w:val="420"/>
  <w:drawingGridHorizontalSpacing w:val="120"/>
  <w:drawingGridVerticalSpacing w:val="163"/>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0D05A47"/>
    <w:rsid w:val="014C63FF"/>
    <w:rsid w:val="056E1C14"/>
    <w:rsid w:val="06065E5D"/>
    <w:rsid w:val="07320B90"/>
    <w:rsid w:val="0C542C86"/>
    <w:rsid w:val="11851C40"/>
    <w:rsid w:val="11A900DE"/>
    <w:rsid w:val="14C402CE"/>
    <w:rsid w:val="18CC6BAF"/>
    <w:rsid w:val="191B2358"/>
    <w:rsid w:val="1A226D19"/>
    <w:rsid w:val="1AB26C06"/>
    <w:rsid w:val="1B7C2F46"/>
    <w:rsid w:val="1B8F186D"/>
    <w:rsid w:val="269126DD"/>
    <w:rsid w:val="2D862F5F"/>
    <w:rsid w:val="30970289"/>
    <w:rsid w:val="398F7F00"/>
    <w:rsid w:val="3CD1612B"/>
    <w:rsid w:val="47371FF5"/>
    <w:rsid w:val="4AA4668B"/>
    <w:rsid w:val="4ACC5C46"/>
    <w:rsid w:val="4CA904D7"/>
    <w:rsid w:val="50DF3540"/>
    <w:rsid w:val="54E125A8"/>
    <w:rsid w:val="55646754"/>
    <w:rsid w:val="59C26CC8"/>
    <w:rsid w:val="5CD90B8A"/>
    <w:rsid w:val="5D331529"/>
    <w:rsid w:val="606F3C6E"/>
    <w:rsid w:val="65534E1D"/>
    <w:rsid w:val="6C042456"/>
    <w:rsid w:val="753A2A20"/>
    <w:rsid w:val="7CFA2D5C"/>
    <w:rsid w:val="7D182778"/>
    <w:rsid w:val="7F424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宋体"/>
      <w:kern w:val="2"/>
      <w:sz w:val="24"/>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Lines="200" w:afterLines="100" w:line="480" w:lineRule="auto"/>
      <w:ind w:firstLineChars="0"/>
      <w:outlineLvl w:val="0"/>
    </w:pPr>
    <w:rPr>
      <w:rFonts w:eastAsia="黑体"/>
      <w:bCs/>
      <w:kern w:val="44"/>
      <w:sz w:val="32"/>
      <w:szCs w:val="44"/>
    </w:rPr>
  </w:style>
  <w:style w:type="paragraph" w:styleId="4">
    <w:name w:val="heading 2"/>
    <w:basedOn w:val="1"/>
    <w:next w:val="1"/>
    <w:link w:val="31"/>
    <w:qFormat/>
    <w:uiPriority w:val="0"/>
    <w:pPr>
      <w:keepNext/>
      <w:keepLines/>
      <w:numPr>
        <w:ilvl w:val="1"/>
        <w:numId w:val="1"/>
      </w:numPr>
      <w:spacing w:line="240" w:lineRule="auto"/>
      <w:ind w:firstLineChars="0"/>
      <w:outlineLvl w:val="1"/>
    </w:pPr>
    <w:rPr>
      <w:rFonts w:eastAsia="黑体" w:cs="宋体"/>
      <w:bCs/>
      <w:sz w:val="30"/>
      <w:szCs w:val="32"/>
    </w:rPr>
  </w:style>
  <w:style w:type="paragraph" w:styleId="5">
    <w:name w:val="heading 3"/>
    <w:basedOn w:val="1"/>
    <w:next w:val="1"/>
    <w:link w:val="32"/>
    <w:qFormat/>
    <w:uiPriority w:val="9"/>
    <w:pPr>
      <w:keepNext/>
      <w:keepLines/>
      <w:numPr>
        <w:ilvl w:val="2"/>
        <w:numId w:val="1"/>
      </w:numPr>
      <w:spacing w:line="240" w:lineRule="auto"/>
      <w:ind w:firstLineChars="0"/>
      <w:outlineLvl w:val="2"/>
    </w:pPr>
    <w:rPr>
      <w:rFonts w:eastAsia="黑体"/>
      <w:bCs/>
      <w:sz w:val="28"/>
      <w:szCs w:val="32"/>
    </w:rPr>
  </w:style>
  <w:style w:type="character" w:default="1" w:styleId="22">
    <w:name w:val="Default Paragraph Font"/>
    <w:qFormat/>
    <w:uiPriority w:val="1"/>
  </w:style>
  <w:style w:type="table" w:default="1" w:styleId="20">
    <w:name w:val="Normal Table"/>
    <w:qFormat/>
    <w:uiPriority w:val="99"/>
    <w:tblPr>
      <w:tblCellMar>
        <w:top w:w="0" w:type="dxa"/>
        <w:left w:w="108" w:type="dxa"/>
        <w:bottom w:w="0" w:type="dxa"/>
        <w:right w:w="108" w:type="dxa"/>
      </w:tblCellMar>
    </w:tblPr>
  </w:style>
  <w:style w:type="paragraph" w:styleId="2">
    <w:name w:val="Normal Indent"/>
    <w:basedOn w:val="1"/>
    <w:qFormat/>
    <w:uiPriority w:val="99"/>
    <w:pPr>
      <w:ind w:firstLine="567"/>
    </w:pPr>
    <w:rPr>
      <w:bCs/>
      <w:szCs w:val="21"/>
    </w:rPr>
  </w:style>
  <w:style w:type="paragraph" w:styleId="6">
    <w:name w:val="annotation text"/>
    <w:basedOn w:val="1"/>
    <w:link w:val="38"/>
    <w:qFormat/>
    <w:uiPriority w:val="99"/>
    <w:pPr>
      <w:spacing w:line="240" w:lineRule="auto"/>
      <w:ind w:firstLine="0" w:firstLineChars="0"/>
      <w:jc w:val="left"/>
    </w:pPr>
    <w:rPr>
      <w:rFonts w:ascii="Calibri" w:hAnsi="Calibri" w:eastAsia="宋体"/>
      <w:sz w:val="21"/>
    </w:rPr>
  </w:style>
  <w:style w:type="paragraph" w:styleId="7">
    <w:name w:val="Body Text"/>
    <w:basedOn w:val="1"/>
    <w:next w:val="1"/>
    <w:link w:val="49"/>
    <w:qFormat/>
    <w:uiPriority w:val="99"/>
    <w:pPr>
      <w:spacing w:after="120"/>
    </w:pPr>
  </w:style>
  <w:style w:type="paragraph" w:styleId="8">
    <w:name w:val="toc 3"/>
    <w:basedOn w:val="1"/>
    <w:next w:val="1"/>
    <w:qFormat/>
    <w:uiPriority w:val="39"/>
    <w:pPr>
      <w:ind w:left="400" w:leftChars="400" w:firstLine="0" w:firstLineChars="0"/>
    </w:pPr>
  </w:style>
  <w:style w:type="paragraph" w:styleId="9">
    <w:name w:val="Date"/>
    <w:basedOn w:val="1"/>
    <w:next w:val="1"/>
    <w:link w:val="40"/>
    <w:qFormat/>
    <w:uiPriority w:val="99"/>
    <w:pPr>
      <w:ind w:left="100" w:leftChars="2500"/>
    </w:pPr>
  </w:style>
  <w:style w:type="paragraph" w:styleId="10">
    <w:name w:val="Balloon Text"/>
    <w:basedOn w:val="1"/>
    <w:link w:val="37"/>
    <w:qFormat/>
    <w:uiPriority w:val="99"/>
    <w:pPr>
      <w:spacing w:line="240" w:lineRule="auto"/>
    </w:pPr>
    <w:rPr>
      <w:sz w:val="18"/>
      <w:szCs w:val="18"/>
    </w:rPr>
  </w:style>
  <w:style w:type="paragraph" w:styleId="11">
    <w:name w:val="footer"/>
    <w:basedOn w:val="1"/>
    <w:link w:val="47"/>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4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qFormat/>
    <w:uiPriority w:val="39"/>
    <w:pPr>
      <w:tabs>
        <w:tab w:val="center" w:leader="dot" w:pos="8296"/>
      </w:tabs>
      <w:spacing w:line="240" w:lineRule="auto"/>
      <w:ind w:firstLine="0" w:firstLineChars="0"/>
      <w:jc w:val="left"/>
    </w:pPr>
    <w:rPr>
      <w:rFonts w:ascii="仿宋" w:hAnsi="仿宋" w:eastAsia="仿宋" w:cs="仿宋_GB2312"/>
      <w:color w:val="000000"/>
      <w:sz w:val="32"/>
      <w:szCs w:val="48"/>
    </w:rPr>
  </w:style>
  <w:style w:type="paragraph" w:styleId="14">
    <w:name w:val="List"/>
    <w:basedOn w:val="1"/>
    <w:next w:val="1"/>
    <w:qFormat/>
    <w:uiPriority w:val="99"/>
    <w:pPr>
      <w:ind w:left="200" w:hanging="200" w:hangingChars="200"/>
      <w:contextualSpacing/>
    </w:pPr>
  </w:style>
  <w:style w:type="paragraph" w:styleId="15">
    <w:name w:val="table of figures"/>
    <w:basedOn w:val="1"/>
    <w:next w:val="1"/>
    <w:qFormat/>
    <w:uiPriority w:val="99"/>
    <w:pPr>
      <w:spacing w:line="240" w:lineRule="auto"/>
      <w:ind w:left="200" w:leftChars="200" w:hanging="200" w:hangingChars="200"/>
    </w:pPr>
    <w:rPr>
      <w:rFonts w:ascii="Calibri" w:hAnsi="Calibri" w:eastAsia="宋体"/>
      <w:sz w:val="21"/>
      <w:szCs w:val="24"/>
    </w:rPr>
  </w:style>
  <w:style w:type="paragraph" w:styleId="16">
    <w:name w:val="toc 2"/>
    <w:basedOn w:val="1"/>
    <w:next w:val="1"/>
    <w:qFormat/>
    <w:uiPriority w:val="39"/>
    <w:pPr>
      <w:tabs>
        <w:tab w:val="center" w:leader="dot" w:pos="8296"/>
      </w:tabs>
      <w:spacing w:line="240" w:lineRule="auto"/>
      <w:ind w:firstLine="0" w:firstLineChars="0"/>
    </w:pPr>
    <w:rPr>
      <w:rFonts w:eastAsia="仿宋"/>
      <w:sz w:val="32"/>
    </w:rPr>
  </w:style>
  <w:style w:type="paragraph" w:styleId="17">
    <w:name w:val="Normal (Web)"/>
    <w:basedOn w:val="1"/>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18">
    <w:name w:val="annotation subject"/>
    <w:basedOn w:val="6"/>
    <w:next w:val="6"/>
    <w:link w:val="39"/>
    <w:qFormat/>
    <w:uiPriority w:val="99"/>
    <w:pPr>
      <w:spacing w:line="400" w:lineRule="exact"/>
      <w:ind w:firstLine="200" w:firstLineChars="200"/>
    </w:pPr>
    <w:rPr>
      <w:rFonts w:ascii="Times New Roman" w:hAnsi="Times New Roman" w:eastAsia="宋体"/>
      <w:b/>
      <w:bCs/>
      <w:sz w:val="24"/>
    </w:rPr>
  </w:style>
  <w:style w:type="paragraph" w:styleId="19">
    <w:name w:val="Body Text First Indent"/>
    <w:basedOn w:val="7"/>
    <w:next w:val="14"/>
    <w:link w:val="50"/>
    <w:qFormat/>
    <w:uiPriority w:val="99"/>
    <w:pPr>
      <w:spacing w:after="0" w:line="240" w:lineRule="auto"/>
      <w:ind w:firstLine="420" w:firstLineChars="100"/>
    </w:pPr>
    <w:rPr>
      <w:rFonts w:ascii="Calibri" w:hAnsi="Calibri" w:eastAsia="宋体"/>
      <w:sz w:val="21"/>
      <w:szCs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Emphasis"/>
    <w:basedOn w:val="22"/>
    <w:qFormat/>
    <w:uiPriority w:val="20"/>
    <w:rPr>
      <w:i/>
    </w:rPr>
  </w:style>
  <w:style w:type="character" w:styleId="24">
    <w:name w:val="Hyperlink"/>
    <w:basedOn w:val="22"/>
    <w:qFormat/>
    <w:uiPriority w:val="99"/>
    <w:rPr>
      <w:color w:val="0563C1"/>
      <w:u w:val="single"/>
    </w:rPr>
  </w:style>
  <w:style w:type="character" w:styleId="25">
    <w:name w:val="annotation reference"/>
    <w:basedOn w:val="22"/>
    <w:qFormat/>
    <w:uiPriority w:val="99"/>
    <w:rPr>
      <w:sz w:val="21"/>
      <w:szCs w:val="21"/>
    </w:rPr>
  </w:style>
  <w:style w:type="paragraph" w:customStyle="1" w:styleId="26">
    <w:name w:val="MTDisplayEquation"/>
    <w:basedOn w:val="1"/>
    <w:next w:val="1"/>
    <w:link w:val="27"/>
    <w:qFormat/>
    <w:uiPriority w:val="0"/>
    <w:pPr>
      <w:tabs>
        <w:tab w:val="center" w:pos="4253"/>
        <w:tab w:val="center" w:pos="8506"/>
      </w:tabs>
      <w:spacing w:line="240" w:lineRule="auto"/>
      <w:ind w:firstLine="0" w:firstLineChars="0"/>
    </w:pPr>
  </w:style>
  <w:style w:type="character" w:customStyle="1" w:styleId="27">
    <w:name w:val="MTDisplayEquation Char"/>
    <w:basedOn w:val="22"/>
    <w:link w:val="26"/>
    <w:qFormat/>
    <w:uiPriority w:val="0"/>
    <w:rPr>
      <w:rFonts w:ascii="Times New Roman" w:hAnsi="Times New Roman" w:eastAsia="宋体"/>
      <w:sz w:val="24"/>
    </w:rPr>
  </w:style>
  <w:style w:type="character" w:customStyle="1" w:styleId="28">
    <w:name w:val="MTEquationSection"/>
    <w:basedOn w:val="22"/>
    <w:qFormat/>
    <w:uiPriority w:val="0"/>
    <w:rPr>
      <w:rFonts w:ascii="黑体" w:hAnsi="黑体" w:eastAsia="黑体"/>
      <w:vanish/>
      <w:color w:val="FF0000"/>
      <w:sz w:val="36"/>
    </w:rPr>
  </w:style>
  <w:style w:type="character" w:customStyle="1" w:styleId="29">
    <w:name w:val="标题 1 Char"/>
    <w:basedOn w:val="22"/>
    <w:link w:val="3"/>
    <w:qFormat/>
    <w:uiPriority w:val="9"/>
    <w:rPr>
      <w:rFonts w:ascii="Times New Roman" w:hAnsi="Times New Roman" w:eastAsia="黑体"/>
      <w:bCs/>
      <w:kern w:val="44"/>
      <w:sz w:val="32"/>
      <w:szCs w:val="44"/>
    </w:rPr>
  </w:style>
  <w:style w:type="paragraph" w:customStyle="1" w:styleId="30">
    <w:name w:val="TOC 标题1"/>
    <w:basedOn w:val="3"/>
    <w:next w:val="1"/>
    <w:qFormat/>
    <w:uiPriority w:val="39"/>
    <w:pPr>
      <w:widowControl/>
      <w:numPr>
        <w:ilvl w:val="0"/>
        <w:numId w:val="0"/>
      </w:numPr>
      <w:spacing w:line="259" w:lineRule="auto"/>
      <w:jc w:val="left"/>
      <w:outlineLvl w:val="9"/>
    </w:pPr>
    <w:rPr>
      <w:rFonts w:ascii="Calibri Light" w:hAnsi="Calibri Light" w:eastAsia="宋体" w:cs="宋体"/>
      <w:bCs w:val="0"/>
      <w:color w:val="2E74B5"/>
      <w:kern w:val="0"/>
      <w:szCs w:val="32"/>
    </w:rPr>
  </w:style>
  <w:style w:type="character" w:customStyle="1" w:styleId="31">
    <w:name w:val="标题 2 Char"/>
    <w:basedOn w:val="22"/>
    <w:link w:val="4"/>
    <w:qFormat/>
    <w:uiPriority w:val="0"/>
    <w:rPr>
      <w:rFonts w:ascii="Times New Roman" w:hAnsi="Times New Roman" w:eastAsia="黑体" w:cs="宋体"/>
      <w:bCs/>
      <w:sz w:val="30"/>
      <w:szCs w:val="32"/>
    </w:rPr>
  </w:style>
  <w:style w:type="character" w:customStyle="1" w:styleId="32">
    <w:name w:val="标题 3 Char"/>
    <w:basedOn w:val="22"/>
    <w:link w:val="5"/>
    <w:qFormat/>
    <w:uiPriority w:val="9"/>
    <w:rPr>
      <w:rFonts w:ascii="Times New Roman" w:hAnsi="Times New Roman" w:eastAsia="黑体"/>
      <w:bCs/>
      <w:sz w:val="28"/>
      <w:szCs w:val="32"/>
    </w:rPr>
  </w:style>
  <w:style w:type="paragraph" w:customStyle="1" w:styleId="33">
    <w:name w:val="公式"/>
    <w:basedOn w:val="26"/>
    <w:link w:val="34"/>
    <w:qFormat/>
    <w:uiPriority w:val="0"/>
    <w:pPr>
      <w:jc w:val="center"/>
    </w:pPr>
    <w:rPr>
      <w:i/>
    </w:rPr>
  </w:style>
  <w:style w:type="character" w:customStyle="1" w:styleId="34">
    <w:name w:val="公式 Char"/>
    <w:basedOn w:val="27"/>
    <w:link w:val="33"/>
    <w:qFormat/>
    <w:uiPriority w:val="0"/>
    <w:rPr>
      <w:rFonts w:ascii="Times New Roman" w:hAnsi="Times New Roman" w:eastAsia="宋体"/>
      <w:i/>
      <w:sz w:val="24"/>
    </w:rPr>
  </w:style>
  <w:style w:type="paragraph" w:styleId="35">
    <w:name w:val="List Paragraph"/>
    <w:basedOn w:val="1"/>
    <w:link w:val="36"/>
    <w:qFormat/>
    <w:uiPriority w:val="34"/>
    <w:pPr>
      <w:spacing w:line="240" w:lineRule="auto"/>
    </w:pPr>
  </w:style>
  <w:style w:type="character" w:customStyle="1" w:styleId="36">
    <w:name w:val="列出段落 Char"/>
    <w:basedOn w:val="22"/>
    <w:link w:val="35"/>
    <w:qFormat/>
    <w:uiPriority w:val="34"/>
    <w:rPr>
      <w:rFonts w:ascii="Times New Roman" w:hAnsi="Times New Roman" w:eastAsia="宋体"/>
      <w:sz w:val="24"/>
    </w:rPr>
  </w:style>
  <w:style w:type="character" w:customStyle="1" w:styleId="37">
    <w:name w:val="批注框文本 Char"/>
    <w:basedOn w:val="22"/>
    <w:link w:val="10"/>
    <w:qFormat/>
    <w:uiPriority w:val="99"/>
    <w:rPr>
      <w:rFonts w:ascii="Times New Roman" w:hAnsi="Times New Roman" w:eastAsia="宋体"/>
      <w:sz w:val="18"/>
      <w:szCs w:val="18"/>
    </w:rPr>
  </w:style>
  <w:style w:type="character" w:customStyle="1" w:styleId="38">
    <w:name w:val="批注文字 Char"/>
    <w:basedOn w:val="22"/>
    <w:link w:val="6"/>
    <w:qFormat/>
    <w:uiPriority w:val="99"/>
  </w:style>
  <w:style w:type="character" w:customStyle="1" w:styleId="39">
    <w:name w:val="批注主题 Char"/>
    <w:basedOn w:val="38"/>
    <w:link w:val="18"/>
    <w:qFormat/>
    <w:uiPriority w:val="99"/>
    <w:rPr>
      <w:rFonts w:ascii="Times New Roman" w:hAnsi="Times New Roman" w:eastAsia="宋体"/>
      <w:b/>
      <w:bCs/>
      <w:sz w:val="24"/>
    </w:rPr>
  </w:style>
  <w:style w:type="character" w:customStyle="1" w:styleId="40">
    <w:name w:val="日期 Char"/>
    <w:basedOn w:val="22"/>
    <w:link w:val="9"/>
    <w:qFormat/>
    <w:uiPriority w:val="99"/>
    <w:rPr>
      <w:rFonts w:ascii="Times New Roman" w:hAnsi="Times New Roman" w:eastAsia="宋体"/>
      <w:sz w:val="24"/>
    </w:rPr>
  </w:style>
  <w:style w:type="paragraph" w:customStyle="1" w:styleId="41">
    <w:name w:val="图示"/>
    <w:basedOn w:val="1"/>
    <w:link w:val="42"/>
    <w:qFormat/>
    <w:uiPriority w:val="0"/>
    <w:pPr>
      <w:spacing w:line="240" w:lineRule="auto"/>
      <w:ind w:firstLine="0" w:firstLineChars="0"/>
      <w:jc w:val="center"/>
    </w:pPr>
    <w:rPr>
      <w:sz w:val="21"/>
    </w:rPr>
  </w:style>
  <w:style w:type="character" w:customStyle="1" w:styleId="42">
    <w:name w:val="图示 字符"/>
    <w:basedOn w:val="22"/>
    <w:link w:val="41"/>
    <w:qFormat/>
    <w:uiPriority w:val="0"/>
    <w:rPr>
      <w:rFonts w:ascii="Times New Roman" w:hAnsi="Times New Roman" w:eastAsia="宋体"/>
    </w:rPr>
  </w:style>
  <w:style w:type="paragraph" w:customStyle="1" w:styleId="43">
    <w:name w:val="小标题排序"/>
    <w:basedOn w:val="1"/>
    <w:link w:val="44"/>
    <w:qFormat/>
    <w:uiPriority w:val="0"/>
    <w:pPr>
      <w:numPr>
        <w:ilvl w:val="0"/>
        <w:numId w:val="2"/>
      </w:numPr>
      <w:ind w:firstLine="0" w:firstLineChars="0"/>
    </w:pPr>
    <w:rPr>
      <w:rFonts w:ascii="宋体" w:hAnsi="宋体"/>
    </w:rPr>
  </w:style>
  <w:style w:type="character" w:customStyle="1" w:styleId="44">
    <w:name w:val="小标题排序 字符"/>
    <w:basedOn w:val="36"/>
    <w:link w:val="43"/>
    <w:qFormat/>
    <w:uiPriority w:val="0"/>
    <w:rPr>
      <w:rFonts w:ascii="宋体" w:hAnsi="宋体" w:eastAsia="宋体"/>
      <w:sz w:val="24"/>
    </w:rPr>
  </w:style>
  <w:style w:type="paragraph" w:customStyle="1" w:styleId="45">
    <w:name w:val="小标题序号"/>
    <w:basedOn w:val="35"/>
    <w:link w:val="46"/>
    <w:qFormat/>
    <w:uiPriority w:val="0"/>
    <w:pPr>
      <w:numPr>
        <w:ilvl w:val="0"/>
        <w:numId w:val="3"/>
      </w:numPr>
      <w:ind w:firstLine="0" w:firstLineChars="0"/>
    </w:pPr>
  </w:style>
  <w:style w:type="character" w:customStyle="1" w:styleId="46">
    <w:name w:val="小标题序号 字符"/>
    <w:basedOn w:val="36"/>
    <w:link w:val="45"/>
    <w:qFormat/>
    <w:uiPriority w:val="0"/>
    <w:rPr>
      <w:rFonts w:ascii="Times New Roman" w:hAnsi="Times New Roman" w:eastAsia="宋体"/>
      <w:sz w:val="24"/>
    </w:rPr>
  </w:style>
  <w:style w:type="character" w:customStyle="1" w:styleId="47">
    <w:name w:val="页脚 Char"/>
    <w:basedOn w:val="22"/>
    <w:link w:val="11"/>
    <w:qFormat/>
    <w:uiPriority w:val="99"/>
    <w:rPr>
      <w:rFonts w:ascii="Times New Roman" w:hAnsi="Times New Roman" w:eastAsia="宋体"/>
      <w:sz w:val="18"/>
      <w:szCs w:val="18"/>
    </w:rPr>
  </w:style>
  <w:style w:type="character" w:customStyle="1" w:styleId="48">
    <w:name w:val="页眉 Char"/>
    <w:basedOn w:val="22"/>
    <w:link w:val="12"/>
    <w:qFormat/>
    <w:uiPriority w:val="99"/>
    <w:rPr>
      <w:rFonts w:ascii="Times New Roman" w:hAnsi="Times New Roman" w:eastAsia="宋体"/>
      <w:sz w:val="18"/>
      <w:szCs w:val="18"/>
    </w:rPr>
  </w:style>
  <w:style w:type="character" w:customStyle="1" w:styleId="49">
    <w:name w:val="正文文本 Char"/>
    <w:basedOn w:val="22"/>
    <w:link w:val="7"/>
    <w:qFormat/>
    <w:uiPriority w:val="99"/>
    <w:rPr>
      <w:rFonts w:ascii="Times New Roman" w:hAnsi="Times New Roman" w:eastAsia="宋体"/>
      <w:sz w:val="24"/>
    </w:rPr>
  </w:style>
  <w:style w:type="character" w:customStyle="1" w:styleId="50">
    <w:name w:val="正文首行缩进 Char"/>
    <w:basedOn w:val="49"/>
    <w:link w:val="19"/>
    <w:qFormat/>
    <w:uiPriority w:val="99"/>
    <w:rPr>
      <w:rFonts w:ascii="Times New Roman" w:hAnsi="Times New Roman" w:eastAsia="宋体"/>
      <w:sz w:val="24"/>
      <w:szCs w:val="24"/>
    </w:rPr>
  </w:style>
  <w:style w:type="paragraph" w:customStyle="1" w:styleId="51">
    <w:name w:val="Normal Indent1"/>
    <w:link w:val="57"/>
    <w:qFormat/>
    <w:uiPriority w:val="0"/>
    <w:pPr>
      <w:widowControl w:val="0"/>
      <w:spacing w:line="480" w:lineRule="auto"/>
      <w:ind w:firstLine="420" w:firstLineChars="200"/>
      <w:jc w:val="both"/>
    </w:pPr>
    <w:rPr>
      <w:rFonts w:ascii="Times New Roman" w:hAnsi="Times New Roman" w:eastAsia="宋体" w:cs="Times New Roman"/>
      <w:kern w:val="2"/>
      <w:sz w:val="21"/>
      <w:lang w:val="en-US" w:eastAsia="zh-CN" w:bidi="ar-SA"/>
    </w:rPr>
  </w:style>
  <w:style w:type="paragraph" w:customStyle="1" w:styleId="52">
    <w:name w:val="一级标题"/>
    <w:basedOn w:val="1"/>
    <w:link w:val="54"/>
    <w:qFormat/>
    <w:uiPriority w:val="0"/>
    <w:pPr>
      <w:spacing w:line="360" w:lineRule="auto"/>
      <w:ind w:firstLine="640"/>
      <w:jc w:val="left"/>
    </w:pPr>
    <w:rPr>
      <w:rFonts w:ascii="黑体" w:hAnsi="黑体" w:eastAsia="黑体" w:cs="黑体"/>
      <w:sz w:val="32"/>
      <w:szCs w:val="32"/>
    </w:rPr>
  </w:style>
  <w:style w:type="paragraph" w:customStyle="1" w:styleId="53">
    <w:name w:val="二级标题"/>
    <w:basedOn w:val="1"/>
    <w:link w:val="55"/>
    <w:qFormat/>
    <w:uiPriority w:val="0"/>
    <w:pPr>
      <w:spacing w:line="360" w:lineRule="auto"/>
      <w:ind w:firstLine="643"/>
    </w:pPr>
    <w:rPr>
      <w:rFonts w:ascii="楷体" w:hAnsi="楷体" w:eastAsia="楷体" w:cs="楷体"/>
      <w:b/>
      <w:bCs/>
      <w:sz w:val="32"/>
      <w:szCs w:val="32"/>
    </w:rPr>
  </w:style>
  <w:style w:type="character" w:customStyle="1" w:styleId="54">
    <w:name w:val="一级标题 字符"/>
    <w:basedOn w:val="22"/>
    <w:link w:val="52"/>
    <w:qFormat/>
    <w:uiPriority w:val="0"/>
    <w:rPr>
      <w:rFonts w:ascii="黑体" w:hAnsi="黑体" w:eastAsia="黑体" w:cs="黑体"/>
      <w:sz w:val="32"/>
      <w:szCs w:val="32"/>
    </w:rPr>
  </w:style>
  <w:style w:type="character" w:customStyle="1" w:styleId="55">
    <w:name w:val="二级标题 字符"/>
    <w:basedOn w:val="22"/>
    <w:link w:val="53"/>
    <w:qFormat/>
    <w:uiPriority w:val="0"/>
    <w:rPr>
      <w:rFonts w:ascii="楷体" w:hAnsi="楷体" w:eastAsia="楷体" w:cs="楷体"/>
      <w:b/>
      <w:bCs/>
      <w:sz w:val="32"/>
      <w:szCs w:val="32"/>
    </w:rPr>
  </w:style>
  <w:style w:type="paragraph" w:customStyle="1" w:styleId="56">
    <w:name w:val="公文正文"/>
    <w:basedOn w:val="1"/>
    <w:qFormat/>
    <w:uiPriority w:val="0"/>
    <w:pPr>
      <w:spacing w:line="560" w:lineRule="exact"/>
      <w:ind w:firstLine="480"/>
    </w:pPr>
  </w:style>
  <w:style w:type="character" w:customStyle="1" w:styleId="57">
    <w:name w:val="Normal Indent1 Char"/>
    <w:link w:val="51"/>
    <w:qFormat/>
    <w:uiPriority w:val="0"/>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F65EF-1290-4618-A17E-FC42793DDD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14599</Words>
  <Characters>15461</Characters>
  <Paragraphs>566</Paragraphs>
  <TotalTime>4</TotalTime>
  <ScaleCrop>false</ScaleCrop>
  <LinksUpToDate>false</LinksUpToDate>
  <CharactersWithSpaces>15494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2021-12-15T11:17:00Z</dcterms:created>
  <dc:creator>一新 翁</dc:creator>
  <cp:lastModifiedBy>林口口</cp:lastModifiedBy>
  <cp:lastPrinted>2021-12-30T01:16:00Z</cp:lastPrinted>
  <dcterms:modified xsi:type="dcterms:W3CDTF">2021-12-30T07:04:57Z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789ECC44A7FF42E88952BA27AAE8543C</vt:lpwstr>
  </property>
</Properties>
</file>