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718E" w14:textId="371E525D" w:rsidR="00DF21DD" w:rsidRDefault="00DF21DD" w:rsidP="00DF21DD">
      <w:pPr>
        <w:pStyle w:val="a7"/>
        <w:spacing w:before="0" w:beforeAutospacing="0" w:after="0" w:afterAutospacing="0"/>
        <w:jc w:val="center"/>
        <w:rPr>
          <w:rFonts w:ascii="PingFangSC-Regular" w:hAnsi="PingFangSC-Regular"/>
          <w:color w:val="000000"/>
          <w:spacing w:val="8"/>
        </w:rPr>
      </w:pPr>
      <w:r>
        <w:rPr>
          <w:rFonts w:ascii="方正小标宋简体" w:eastAsia="方正小标宋简体" w:hAnsi="PingFangSC-Regular" w:hint="eastAsia"/>
          <w:color w:val="000000"/>
          <w:spacing w:val="8"/>
          <w:sz w:val="44"/>
          <w:szCs w:val="44"/>
        </w:rPr>
        <w:t>龙泉市人力资源和社会保障局</w:t>
      </w:r>
    </w:p>
    <w:p w14:paraId="47570849" w14:textId="77777777" w:rsidR="00DF21DD" w:rsidRDefault="00DF21DD" w:rsidP="00DF21DD">
      <w:pPr>
        <w:pStyle w:val="a7"/>
        <w:spacing w:before="0" w:beforeAutospacing="0" w:after="0" w:afterAutospacing="0"/>
        <w:jc w:val="center"/>
        <w:rPr>
          <w:rFonts w:ascii="PingFangSC-Regular" w:hAnsi="PingFangSC-Regular"/>
          <w:color w:val="000000"/>
          <w:spacing w:val="8"/>
        </w:rPr>
      </w:pPr>
      <w:r>
        <w:rPr>
          <w:rFonts w:ascii="方正小标宋简体" w:eastAsia="方正小标宋简体" w:hAnsi="PingFangSC-Regular" w:hint="eastAsia"/>
          <w:color w:val="000000"/>
          <w:spacing w:val="8"/>
          <w:sz w:val="44"/>
          <w:szCs w:val="44"/>
        </w:rPr>
        <w:t>行政执法辅助人员管理制度</w:t>
      </w:r>
    </w:p>
    <w:p w14:paraId="70E5BF18" w14:textId="77777777" w:rsidR="00DF21DD" w:rsidRDefault="00DF21DD" w:rsidP="00DF21DD">
      <w:pPr>
        <w:pStyle w:val="a7"/>
        <w:spacing w:before="0" w:beforeAutospacing="0" w:after="0" w:afterAutospacing="0"/>
        <w:rPr>
          <w:rFonts w:ascii="PingFangSC-Regular" w:hAnsi="PingFangSC-Regular"/>
          <w:color w:val="000000"/>
          <w:spacing w:val="8"/>
        </w:rPr>
      </w:pPr>
      <w:r>
        <w:rPr>
          <w:rFonts w:ascii="Calibri" w:hAnsi="Calibri" w:cs="Calibri"/>
          <w:color w:val="000000"/>
          <w:spacing w:val="8"/>
          <w:sz w:val="29"/>
          <w:szCs w:val="29"/>
        </w:rPr>
        <w:t> </w:t>
      </w:r>
    </w:p>
    <w:p w14:paraId="38E0EF1C" w14:textId="4CB65ADC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第一条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为加强对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我局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行政执法辅助人员的管理，规范执法行为，促进依法行政，根据相关规定，结合工作实际，制定本制度。</w:t>
      </w:r>
    </w:p>
    <w:p w14:paraId="2841D486" w14:textId="4E56BD95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第二条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行政执法辅助人员不具有行政执法资格，其应当在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我局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及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我局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行政执法人员的指挥和监督下开展辅助性工作。行政执法辅助人员履行职责产生的法律后果由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我局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承担。</w:t>
      </w:r>
    </w:p>
    <w:p w14:paraId="0082D9DF" w14:textId="378FC52B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第三条</w:t>
      </w: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招聘行政执法辅助人员应当根据相关法律、法规、规章规定和聘用方案的要求，对应聘者进行资格审查，有下列情形之一的人员，不得招聘为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我局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行政执法辅助人员：</w:t>
      </w:r>
    </w:p>
    <w:p w14:paraId="36ECF48A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（一）未满18周岁或者不具备完全民事行为能力的；</w:t>
      </w:r>
    </w:p>
    <w:p w14:paraId="3B6E1246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（二）受过刑事处罚或者涉嫌违法犯罪尚未结案的；</w:t>
      </w:r>
    </w:p>
    <w:p w14:paraId="08BFD8F5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（三）曾被行政拘留或者有吸毒史的；</w:t>
      </w:r>
    </w:p>
    <w:p w14:paraId="42F2D418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（四）因违纪违规被国家机关、事业单位开除或者辞退的；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</w:t>
      </w:r>
    </w:p>
    <w:p w14:paraId="78BF732F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（五）有较为严重的个人不良信用记录的；</w:t>
      </w:r>
    </w:p>
    <w:p w14:paraId="63B2C370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lastRenderedPageBreak/>
        <w:t>（六）其他不适合从事行政执法辅助工作的。</w:t>
      </w:r>
    </w:p>
    <w:p w14:paraId="5C009925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第四条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资格审查主要对应聘者的基本身份信息、学历、履历档案资料等进行审查。如发现有伪造资料或者提供虚假信息、故意隐瞒事实等，经核实后应当立即取消其应聘资格。</w:t>
      </w:r>
    </w:p>
    <w:p w14:paraId="1E000B24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第五条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对资格审查合格的应聘者，按照平等自愿、协商一致的原则，依据《中华人民共和国劳动合同法》与应聘者签订聘用合同。聘用合同应当包括行政执法辅助人员的身份性质、岗位职责、工资待遇、聘用期限、权利义务及合同解除等内容。</w:t>
      </w:r>
    </w:p>
    <w:p w14:paraId="02B830BC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第六条</w:t>
      </w: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行政执法辅助人员应持证上岗，根据工作需要可以配备必要的辅助执法装备。</w:t>
      </w:r>
    </w:p>
    <w:p w14:paraId="6F3248CD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行政执法辅助人员的工作证件必须与行政执法证有明显区别，不得外借、涂改、篡改，不得用于辅助行政执法以外的用途。</w:t>
      </w:r>
    </w:p>
    <w:p w14:paraId="771FDCA1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行政执法辅助人员离岗或者解除劳动合同后，应当将工作证件、装备等交回单位。</w:t>
      </w:r>
    </w:p>
    <w:p w14:paraId="1C5FFC82" w14:textId="1815F57D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第七条</w:t>
      </w: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局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政策法规与行政审批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科定期对行政执法辅助人员进行法律知识和岗位技能培训，提高行政执法辅助人员素质。</w:t>
      </w:r>
    </w:p>
    <w:p w14:paraId="2966CFFC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第八条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行政执法辅助人员可以承担以下工作：</w:t>
      </w:r>
    </w:p>
    <w:p w14:paraId="6845B855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lastRenderedPageBreak/>
        <w:t>（一）文书制作、档案管理、信息采集与录入等事务性工作；</w:t>
      </w:r>
    </w:p>
    <w:p w14:paraId="55BD8126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（二）协助行政执法人员宣传相关法律和政策，预防、制止违法行为；</w:t>
      </w:r>
    </w:p>
    <w:p w14:paraId="62107AB3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（三）协助行政执法人员开展行政检查工作；</w:t>
      </w:r>
    </w:p>
    <w:p w14:paraId="2D401472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（四）协助行政执法人员调查取证；</w:t>
      </w:r>
    </w:p>
    <w:p w14:paraId="0E5D3714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（五）协助行政执法人员送达相关法律文书和执行行政执法决定。</w:t>
      </w:r>
    </w:p>
    <w:p w14:paraId="2916AFB1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第九条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行政执法辅助人员不得从事以下工作：</w:t>
      </w:r>
    </w:p>
    <w:p w14:paraId="665EE055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（一）行政执法的立案、受理工作；</w:t>
      </w:r>
    </w:p>
    <w:p w14:paraId="60D0FE36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（二）独立从事行政执法的调查和审核工作；</w:t>
      </w:r>
    </w:p>
    <w:p w14:paraId="4CB53595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（三）作出行政执法决定的工作；</w:t>
      </w:r>
    </w:p>
    <w:p w14:paraId="5ED57868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（四）实施行政强制措施；</w:t>
      </w:r>
    </w:p>
    <w:p w14:paraId="3E792179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（五）独立从事行政处罚、行政强制执行、行政检查等行政执法活动中影响公民、法人和其他组织实质性权利义务的工作；</w:t>
      </w:r>
    </w:p>
    <w:p w14:paraId="4805E3D1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（六）法律、法规、规章禁止的其他事项。</w:t>
      </w:r>
    </w:p>
    <w:p w14:paraId="25019FFF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第十条</w:t>
      </w: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行政执法辅助人员在履职过程中有下列行为之一的，应当责令改正，并对其进行批评教育；情节严重的，应当解聘；构成犯罪的，移送司法机关处理：</w:t>
      </w:r>
    </w:p>
    <w:p w14:paraId="4A63AFA9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（一）使用粗俗、歧视、侮辱以及威胁性言语，造成不良后果的；</w:t>
      </w:r>
    </w:p>
    <w:p w14:paraId="6D56BECF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lastRenderedPageBreak/>
        <w:t>（二）行为粗暴、辱骂殴打当事人，造成不良影响的；</w:t>
      </w:r>
    </w:p>
    <w:p w14:paraId="33E2F1ED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（三）不作为、乱作为、慢作为的；</w:t>
      </w:r>
    </w:p>
    <w:p w14:paraId="2467EC23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（四）收受行政管理相对人礼金、礼品，接受行政管理相对人吃请的；</w:t>
      </w:r>
    </w:p>
    <w:p w14:paraId="41DAC8CA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（五）索贿受贿、敲诈勒索、以权谋私、徇私枉法的；</w:t>
      </w:r>
    </w:p>
    <w:p w14:paraId="0155D191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（六）有其他不规范、不公正、不文明行为等符合合同约定解聘情形的。</w:t>
      </w:r>
    </w:p>
    <w:p w14:paraId="54555588" w14:textId="357C6092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第十一条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我局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定期对行政执法辅助人员的工作成效、遵章守纪、教育培训等情况进行考核。考核结果作为续聘、解除劳动关系、奖惩以及岗位调整的依据。</w:t>
      </w:r>
    </w:p>
    <w:p w14:paraId="68BF228A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第十二条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国家、省、市有关行政主管部门对本系统行政执法辅助人员管理另有规定的，从其规定。</w:t>
      </w:r>
    </w:p>
    <w:p w14:paraId="079CEF2A" w14:textId="77777777" w:rsidR="00DF21DD" w:rsidRDefault="00DF21DD" w:rsidP="00DF21DD">
      <w:pPr>
        <w:pStyle w:val="a7"/>
        <w:spacing w:before="0" w:beforeAutospacing="0" w:after="0" w:afterAutospacing="0" w:line="555" w:lineRule="atLeast"/>
        <w:ind w:firstLine="645"/>
        <w:rPr>
          <w:rFonts w:ascii="PingFangSC-Regular" w:hAnsi="PingFangSC-Regular"/>
          <w:color w:val="000000"/>
          <w:spacing w:val="8"/>
        </w:rPr>
      </w:pP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第十三条</w:t>
      </w:r>
      <w:r>
        <w:rPr>
          <w:rStyle w:val="a8"/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 </w:t>
      </w:r>
      <w:r>
        <w:rPr>
          <w:rFonts w:ascii="仿宋_GB2312" w:eastAsia="仿宋_GB2312" w:hAnsi="PingFangSC-Regular" w:hint="eastAsia"/>
          <w:color w:val="000000"/>
          <w:spacing w:val="8"/>
          <w:sz w:val="32"/>
          <w:szCs w:val="32"/>
        </w:rPr>
        <w:t>本制度自印发之日起施行</w:t>
      </w:r>
    </w:p>
    <w:p w14:paraId="2548D242" w14:textId="77777777" w:rsidR="001129FD" w:rsidRPr="00DF21DD" w:rsidRDefault="001129FD"/>
    <w:sectPr w:rsidR="001129FD" w:rsidRPr="00DF2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23DB" w14:textId="77777777" w:rsidR="00B86103" w:rsidRDefault="00B86103" w:rsidP="00DF21DD">
      <w:r>
        <w:separator/>
      </w:r>
    </w:p>
  </w:endnote>
  <w:endnote w:type="continuationSeparator" w:id="0">
    <w:p w14:paraId="02B27ABC" w14:textId="77777777" w:rsidR="00B86103" w:rsidRDefault="00B86103" w:rsidP="00DF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ingFangSC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F4DF" w14:textId="77777777" w:rsidR="00B86103" w:rsidRDefault="00B86103" w:rsidP="00DF21DD">
      <w:r>
        <w:separator/>
      </w:r>
    </w:p>
  </w:footnote>
  <w:footnote w:type="continuationSeparator" w:id="0">
    <w:p w14:paraId="1ED17910" w14:textId="77777777" w:rsidR="00B86103" w:rsidRDefault="00B86103" w:rsidP="00DF2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54"/>
    <w:rsid w:val="001129FD"/>
    <w:rsid w:val="00B60854"/>
    <w:rsid w:val="00B86103"/>
    <w:rsid w:val="00D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433B0"/>
  <w15:chartTrackingRefBased/>
  <w15:docId w15:val="{38916313-D50F-4C0B-8715-E78A7F5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1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1D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F21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F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传峻 传峻</dc:creator>
  <cp:keywords/>
  <dc:description/>
  <cp:lastModifiedBy>传峻 传峻</cp:lastModifiedBy>
  <cp:revision>2</cp:revision>
  <dcterms:created xsi:type="dcterms:W3CDTF">2020-10-13T00:41:00Z</dcterms:created>
  <dcterms:modified xsi:type="dcterms:W3CDTF">2020-10-13T00:45:00Z</dcterms:modified>
</cp:coreProperties>
</file>