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4"/>
          <w:sz w:val="44"/>
          <w:szCs w:val="44"/>
        </w:rPr>
        <w:t>关于《龙泉市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44"/>
          <w:szCs w:val="44"/>
          <w:lang w:eastAsia="zh-CN"/>
        </w:rPr>
        <w:t>退役军人事务局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000000"/>
          <w:spacing w:val="-4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44"/>
          <w:szCs w:val="44"/>
          <w:lang w:val="en-US" w:eastAsia="zh-CN"/>
        </w:rPr>
        <w:t>年重大行政决策事项</w:t>
      </w:r>
      <w:r>
        <w:rPr>
          <w:rFonts w:hint="eastAsia" w:ascii="宋体" w:hAnsi="宋体" w:cs="宋体"/>
          <w:b/>
          <w:bCs/>
          <w:color w:val="000000"/>
          <w:spacing w:val="-4"/>
          <w:sz w:val="44"/>
          <w:szCs w:val="44"/>
          <w:lang w:val="en-US" w:eastAsia="zh-CN"/>
        </w:rPr>
        <w:t>目录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44"/>
          <w:szCs w:val="44"/>
        </w:rPr>
        <w:t>》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的起草说明</w:t>
      </w:r>
    </w:p>
    <w:p>
      <w:pPr>
        <w:wordWrap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现就龙泉市退役军人事务局优抚安置科起草的《关于龙泉市退役军人事务局关于公布2023年重大行政决策事项目录的通知》（以下简称《通知》）有关情况说明如下：</w:t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一、制定文件的必要性和可行性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1、政策背景：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outlineLvl w:val="0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近年来，各级退役军人事务部门认真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学习</w:t>
      </w:r>
      <w:r>
        <w:rPr>
          <w:rFonts w:ascii="Times New Roman" w:hAnsi="Times New Roman" w:eastAsia="仿宋_GB2312"/>
          <w:color w:val="000000"/>
          <w:sz w:val="32"/>
          <w:szCs w:val="32"/>
        </w:rPr>
        <w:t>贯彻习近平总书记“让军人成为全社会尊崇的职业”的重要指示精神，全面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落实《军人抚恤优待条例》</w:t>
      </w:r>
      <w:r>
        <w:rPr>
          <w:rFonts w:ascii="Times New Roman" w:hAnsi="Times New Roman" w:eastAsia="仿宋_GB2312"/>
          <w:color w:val="000000"/>
          <w:sz w:val="32"/>
          <w:szCs w:val="32"/>
        </w:rPr>
        <w:t>，积极开展优抚对象短期疗养活动，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依据《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浙江省退役军人事务厅 浙江省财政厅关于进一步做好部分优抚对象短期疗养的通知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》，开展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符合条件优抚对象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短期疗养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二、起草情况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根据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浙江省退役军人事务厅 浙江省财政厅关于进一步做好部分优抚对象短期疗养的通知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，计划开展2023年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符合条件优抚对象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短期疗养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2023年3月9日发文《龙泉市退役军人事务局关于公布2023年度重大行政决策事项目录的通知》。</w:t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三、需要解决的主要问题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通过开展开展2023年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符合条件优抚对象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短期疗养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确保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符合条件优抚对象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每人享受到一次短期疗养优待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提高优抚对象满意度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3" w:firstLineChars="200"/>
        <w:jc w:val="left"/>
        <w:outlineLvl w:val="0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四、拟采取的主要措施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通过招投标方式委托旅游服务公司开展短期疗养。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下半年在龙泉市范围内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" w:eastAsia="zh-CN"/>
        </w:rPr>
        <w:t>分3批次开展短期疗养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5880" w:firstLineChars="2100"/>
        <w:jc w:val="left"/>
        <w:outlineLvl w:val="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spacing w:line="560" w:lineRule="exact"/>
        <w:ind w:firstLine="3200" w:firstLineChars="1000"/>
        <w:jc w:val="left"/>
        <w:outlineLvl w:val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龙泉市退役军人事务局优抚安置科</w:t>
      </w:r>
    </w:p>
    <w:p>
      <w:pPr>
        <w:spacing w:line="560" w:lineRule="exact"/>
        <w:ind w:firstLine="5120" w:firstLineChars="1600"/>
        <w:jc w:val="left"/>
        <w:outlineLvl w:val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2023年3月10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4420"/>
    <w:rsid w:val="33A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2023-03-10T07:47:00Z</dcterms:created>
  <dc:creator>Administrator</dc:creator>
  <cp:lastModifiedBy>Administrator</cp:lastModifiedBy>
  <dcterms:modified xsi:type="dcterms:W3CDTF">2023-03-10T08:00:02Z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