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450" w:after="450" w:line="400" w:lineRule="exact"/>
        <w:rPr>
          <w:rFonts w:hint="eastAsia" w:cs="宋体" w:asciiTheme="minorEastAsia" w:hAnsiTheme="minorEastAsia"/>
          <w:color w:val="525353"/>
          <w:kern w:val="0"/>
          <w:sz w:val="28"/>
          <w:szCs w:val="28"/>
        </w:rPr>
      </w:pPr>
      <w:r>
        <w:rPr>
          <w:rFonts w:hint="eastAsia" w:cs="宋体" w:asciiTheme="minorEastAsia" w:hAnsiTheme="minorEastAsia"/>
          <w:color w:val="525353"/>
          <w:kern w:val="0"/>
          <w:sz w:val="28"/>
          <w:szCs w:val="28"/>
        </w:rPr>
        <w:t>附件4</w:t>
      </w:r>
    </w:p>
    <w:p>
      <w:pPr>
        <w:widowControl/>
        <w:shd w:val="clear" w:color="auto" w:fill="FFFFFF"/>
        <w:spacing w:before="450" w:after="450" w:line="400" w:lineRule="exact"/>
        <w:jc w:val="center"/>
        <w:rPr>
          <w:rFonts w:cs="宋体" w:asciiTheme="minorEastAsia" w:hAnsiTheme="minorEastAsia"/>
          <w:b/>
          <w:color w:val="525353"/>
          <w:kern w:val="0"/>
          <w:sz w:val="36"/>
          <w:szCs w:val="36"/>
        </w:rPr>
      </w:pPr>
      <w:r>
        <w:rPr>
          <w:rFonts w:hint="eastAsia" w:cs="宋体" w:asciiTheme="minorEastAsia" w:hAnsiTheme="minorEastAsia"/>
          <w:b/>
          <w:color w:val="525353"/>
          <w:kern w:val="0"/>
          <w:sz w:val="36"/>
          <w:szCs w:val="36"/>
        </w:rPr>
        <w:t>龙泉市</w:t>
      </w:r>
      <w:r>
        <w:rPr>
          <w:rFonts w:hint="eastAsia" w:cs="宋体" w:asciiTheme="minorEastAsia" w:hAnsiTheme="minorEastAsia"/>
          <w:b/>
          <w:color w:val="525353"/>
          <w:kern w:val="0"/>
          <w:sz w:val="36"/>
          <w:szCs w:val="36"/>
          <w:lang w:eastAsia="zh-CN"/>
        </w:rPr>
        <w:t>科学技术</w:t>
      </w:r>
      <w:r>
        <w:rPr>
          <w:rFonts w:hint="eastAsia" w:cs="宋体" w:asciiTheme="minorEastAsia" w:hAnsiTheme="minorEastAsia"/>
          <w:b/>
          <w:color w:val="525353"/>
          <w:kern w:val="0"/>
          <w:sz w:val="36"/>
          <w:szCs w:val="36"/>
        </w:rPr>
        <w:t>局随机抽查事项清单</w:t>
      </w:r>
    </w:p>
    <w:p>
      <w:pPr>
        <w:widowControl/>
        <w:shd w:val="clear" w:color="auto" w:fill="FFFFFF"/>
        <w:spacing w:before="450" w:after="450" w:line="400" w:lineRule="exact"/>
        <w:jc w:val="left"/>
        <w:rPr>
          <w:rFonts w:ascii="微软雅黑" w:hAnsi="微软雅黑" w:eastAsia="微软雅黑" w:cs="宋体"/>
          <w:color w:val="525353"/>
          <w:kern w:val="0"/>
          <w:sz w:val="30"/>
          <w:szCs w:val="30"/>
        </w:rPr>
      </w:pPr>
      <w:r>
        <w:rPr>
          <w:rFonts w:hint="eastAsia" w:ascii="微软雅黑" w:hAnsi="微软雅黑" w:eastAsia="微软雅黑" w:cs="宋体"/>
          <w:color w:val="525353"/>
          <w:kern w:val="0"/>
          <w:sz w:val="30"/>
          <w:szCs w:val="30"/>
        </w:rPr>
        <w:t>抽查项目：</w:t>
      </w:r>
      <w:r>
        <w:rPr>
          <w:rFonts w:hint="eastAsia" w:ascii="微软雅黑" w:hAnsi="微软雅黑" w:eastAsia="微软雅黑" w:cs="宋体"/>
          <w:color w:val="525353"/>
          <w:kern w:val="0"/>
          <w:sz w:val="30"/>
          <w:szCs w:val="30"/>
          <w:lang w:val="en-US" w:eastAsia="zh-CN"/>
        </w:rPr>
        <w:t>6</w:t>
      </w:r>
      <w:r>
        <w:rPr>
          <w:rFonts w:hint="eastAsia" w:ascii="微软雅黑" w:hAnsi="微软雅黑" w:eastAsia="微软雅黑" w:cs="宋体"/>
          <w:color w:val="525353"/>
          <w:kern w:val="0"/>
          <w:sz w:val="30"/>
          <w:szCs w:val="30"/>
        </w:rPr>
        <w:t>个</w:t>
      </w:r>
    </w:p>
    <w:tbl>
      <w:tblPr>
        <w:tblStyle w:val="2"/>
        <w:tblW w:w="15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19"/>
        <w:gridCol w:w="1535"/>
        <w:gridCol w:w="1417"/>
        <w:gridCol w:w="4668"/>
        <w:gridCol w:w="5917"/>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719" w:type="dxa"/>
            <w:noWrap/>
            <w:tcMar>
              <w:top w:w="75" w:type="dxa"/>
              <w:left w:w="120" w:type="dxa"/>
              <w:bottom w:w="75" w:type="dxa"/>
              <w:right w:w="120" w:type="dxa"/>
            </w:tcMar>
            <w:vAlign w:val="center"/>
          </w:tcPr>
          <w:p>
            <w:pPr>
              <w:widowControl/>
              <w:wordWrap w:val="0"/>
              <w:jc w:val="center"/>
              <w:rPr>
                <w:rFonts w:ascii="宋体" w:hAnsi="宋体" w:eastAsia="宋体" w:cs="宋体"/>
                <w:kern w:val="0"/>
                <w:sz w:val="24"/>
                <w:szCs w:val="24"/>
              </w:rPr>
            </w:pPr>
            <w:r>
              <w:rPr>
                <w:rFonts w:ascii="宋体" w:hAnsi="宋体" w:eastAsia="宋体" w:cs="宋体"/>
                <w:kern w:val="0"/>
                <w:sz w:val="24"/>
                <w:szCs w:val="24"/>
              </w:rPr>
              <w:t>序号</w:t>
            </w:r>
          </w:p>
        </w:tc>
        <w:tc>
          <w:tcPr>
            <w:tcW w:w="1535" w:type="dxa"/>
            <w:noWrap/>
            <w:tcMar>
              <w:top w:w="75" w:type="dxa"/>
              <w:left w:w="120" w:type="dxa"/>
              <w:bottom w:w="75" w:type="dxa"/>
              <w:right w:w="120" w:type="dxa"/>
            </w:tcMar>
            <w:vAlign w:val="center"/>
          </w:tcPr>
          <w:p>
            <w:pPr>
              <w:widowControl/>
              <w:wordWrap w:val="0"/>
              <w:jc w:val="center"/>
              <w:rPr>
                <w:rFonts w:ascii="宋体" w:hAnsi="宋体" w:eastAsia="宋体" w:cs="宋体"/>
                <w:kern w:val="0"/>
                <w:sz w:val="24"/>
                <w:szCs w:val="24"/>
              </w:rPr>
            </w:pPr>
            <w:r>
              <w:rPr>
                <w:rFonts w:ascii="宋体" w:hAnsi="宋体" w:eastAsia="宋体" w:cs="宋体"/>
                <w:kern w:val="0"/>
                <w:sz w:val="24"/>
                <w:szCs w:val="24"/>
              </w:rPr>
              <w:t>抽查主体</w:t>
            </w:r>
          </w:p>
        </w:tc>
        <w:tc>
          <w:tcPr>
            <w:tcW w:w="1417" w:type="dxa"/>
            <w:noWrap/>
            <w:tcMar>
              <w:top w:w="75" w:type="dxa"/>
              <w:left w:w="120" w:type="dxa"/>
              <w:bottom w:w="75" w:type="dxa"/>
              <w:right w:w="120" w:type="dxa"/>
            </w:tcMar>
            <w:vAlign w:val="center"/>
          </w:tcPr>
          <w:p>
            <w:pPr>
              <w:widowControl/>
              <w:wordWrap w:val="0"/>
              <w:jc w:val="center"/>
              <w:rPr>
                <w:rFonts w:ascii="宋体" w:hAnsi="宋体" w:eastAsia="宋体" w:cs="宋体"/>
                <w:kern w:val="0"/>
                <w:sz w:val="24"/>
                <w:szCs w:val="24"/>
              </w:rPr>
            </w:pPr>
            <w:r>
              <w:rPr>
                <w:rFonts w:ascii="宋体" w:hAnsi="宋体" w:eastAsia="宋体" w:cs="宋体"/>
                <w:kern w:val="0"/>
                <w:sz w:val="24"/>
                <w:szCs w:val="24"/>
              </w:rPr>
              <w:t>抽查事项</w:t>
            </w:r>
          </w:p>
        </w:tc>
        <w:tc>
          <w:tcPr>
            <w:tcW w:w="4668" w:type="dxa"/>
            <w:noWrap/>
            <w:tcMar>
              <w:top w:w="75" w:type="dxa"/>
              <w:left w:w="120" w:type="dxa"/>
              <w:bottom w:w="75" w:type="dxa"/>
              <w:right w:w="120" w:type="dxa"/>
            </w:tcMar>
            <w:vAlign w:val="center"/>
          </w:tcPr>
          <w:p>
            <w:pPr>
              <w:widowControl/>
              <w:wordWrap w:val="0"/>
              <w:jc w:val="center"/>
              <w:rPr>
                <w:rFonts w:ascii="宋体" w:hAnsi="宋体" w:eastAsia="宋体" w:cs="宋体"/>
                <w:kern w:val="0"/>
                <w:sz w:val="24"/>
                <w:szCs w:val="24"/>
              </w:rPr>
            </w:pPr>
            <w:r>
              <w:rPr>
                <w:rFonts w:ascii="宋体" w:hAnsi="宋体" w:eastAsia="宋体" w:cs="宋体"/>
                <w:kern w:val="0"/>
                <w:sz w:val="24"/>
                <w:szCs w:val="24"/>
              </w:rPr>
              <w:t>抽查内容</w:t>
            </w:r>
          </w:p>
        </w:tc>
        <w:tc>
          <w:tcPr>
            <w:tcW w:w="5917" w:type="dxa"/>
            <w:noWrap/>
            <w:tcMar>
              <w:top w:w="75" w:type="dxa"/>
              <w:left w:w="120" w:type="dxa"/>
              <w:bottom w:w="75" w:type="dxa"/>
              <w:right w:w="120" w:type="dxa"/>
            </w:tcMar>
            <w:vAlign w:val="center"/>
          </w:tcPr>
          <w:p>
            <w:pPr>
              <w:widowControl/>
              <w:wordWrap w:val="0"/>
              <w:jc w:val="center"/>
              <w:rPr>
                <w:rFonts w:ascii="宋体" w:hAnsi="宋体" w:eastAsia="宋体" w:cs="宋体"/>
                <w:kern w:val="0"/>
                <w:sz w:val="24"/>
                <w:szCs w:val="24"/>
              </w:rPr>
            </w:pPr>
            <w:r>
              <w:rPr>
                <w:rFonts w:ascii="宋体" w:hAnsi="宋体" w:eastAsia="宋体" w:cs="宋体"/>
                <w:kern w:val="0"/>
                <w:sz w:val="24"/>
                <w:szCs w:val="24"/>
              </w:rPr>
              <w:t>抽查依据</w:t>
            </w:r>
          </w:p>
        </w:tc>
        <w:tc>
          <w:tcPr>
            <w:tcW w:w="1089" w:type="dxa"/>
            <w:noWrap/>
            <w:tcMar>
              <w:top w:w="75" w:type="dxa"/>
              <w:left w:w="120" w:type="dxa"/>
              <w:bottom w:w="75" w:type="dxa"/>
              <w:right w:w="120" w:type="dxa"/>
            </w:tcMar>
            <w:vAlign w:val="center"/>
          </w:tcPr>
          <w:p>
            <w:pPr>
              <w:widowControl/>
              <w:wordWrap w:val="0"/>
              <w:jc w:val="center"/>
              <w:rPr>
                <w:rFonts w:ascii="宋体" w:hAnsi="宋体" w:eastAsia="宋体" w:cs="宋体"/>
                <w:kern w:val="0"/>
                <w:sz w:val="24"/>
                <w:szCs w:val="24"/>
              </w:rPr>
            </w:pPr>
            <w:r>
              <w:rPr>
                <w:rFonts w:ascii="宋体" w:hAnsi="宋体" w:eastAsia="宋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6" w:hRule="atLeast"/>
          <w:jc w:val="center"/>
        </w:trPr>
        <w:tc>
          <w:tcPr>
            <w:tcW w:w="719" w:type="dxa"/>
            <w:noWrap/>
            <w:tcMar>
              <w:top w:w="75" w:type="dxa"/>
              <w:left w:w="120" w:type="dxa"/>
              <w:bottom w:w="75" w:type="dxa"/>
              <w:right w:w="120" w:type="dxa"/>
            </w:tcMar>
            <w:vAlign w:val="center"/>
          </w:tcPr>
          <w:p>
            <w:pPr>
              <w:widowControl/>
              <w:wordWrap w:val="0"/>
              <w:jc w:val="center"/>
              <w:rPr>
                <w:rFonts w:hint="eastAsia" w:ascii="Arial" w:hAnsi="Arial" w:eastAsia="宋体" w:cs="Arial"/>
                <w:i w:val="0"/>
                <w:caps w:val="0"/>
                <w:color w:val="5C5C5C"/>
                <w:spacing w:val="0"/>
                <w:sz w:val="21"/>
                <w:szCs w:val="21"/>
                <w:shd w:val="clear" w:fill="FFFFFF"/>
              </w:rPr>
            </w:pPr>
            <w:r>
              <w:rPr>
                <w:rFonts w:hint="eastAsia" w:ascii="Arial" w:hAnsi="Arial" w:eastAsia="宋体" w:cs="Arial"/>
                <w:i w:val="0"/>
                <w:caps w:val="0"/>
                <w:color w:val="5C5C5C"/>
                <w:spacing w:val="0"/>
                <w:sz w:val="21"/>
                <w:szCs w:val="21"/>
                <w:shd w:val="clear" w:fill="FFFFFF"/>
              </w:rPr>
              <w:t>1</w:t>
            </w:r>
          </w:p>
        </w:tc>
        <w:tc>
          <w:tcPr>
            <w:tcW w:w="1535" w:type="dxa"/>
            <w:noWrap/>
            <w:tcMar>
              <w:top w:w="75" w:type="dxa"/>
              <w:left w:w="120" w:type="dxa"/>
              <w:bottom w:w="75" w:type="dxa"/>
              <w:right w:w="120" w:type="dxa"/>
            </w:tcMar>
            <w:vAlign w:val="center"/>
          </w:tcPr>
          <w:p>
            <w:pPr>
              <w:widowControl/>
              <w:wordWrap w:val="0"/>
              <w:jc w:val="center"/>
              <w:rPr>
                <w:rFonts w:hint="eastAsia" w:ascii="Arial" w:hAnsi="Arial" w:eastAsia="宋体" w:cs="Arial"/>
                <w:i w:val="0"/>
                <w:caps w:val="0"/>
                <w:color w:val="5C5C5C"/>
                <w:spacing w:val="0"/>
                <w:sz w:val="21"/>
                <w:szCs w:val="21"/>
                <w:shd w:val="clear" w:fill="FFFFFF"/>
              </w:rPr>
            </w:pPr>
            <w:r>
              <w:rPr>
                <w:rFonts w:hint="eastAsia" w:ascii="Arial" w:hAnsi="Arial" w:eastAsia="宋体" w:cs="Arial"/>
                <w:i w:val="0"/>
                <w:caps w:val="0"/>
                <w:color w:val="5C5C5C"/>
                <w:spacing w:val="0"/>
                <w:sz w:val="21"/>
                <w:szCs w:val="21"/>
                <w:shd w:val="clear" w:fill="FFFFFF"/>
              </w:rPr>
              <w:t>龙泉市</w:t>
            </w:r>
            <w:r>
              <w:rPr>
                <w:rFonts w:hint="eastAsia" w:ascii="Arial" w:hAnsi="Arial" w:eastAsia="宋体" w:cs="Arial"/>
                <w:i w:val="0"/>
                <w:caps w:val="0"/>
                <w:color w:val="5C5C5C"/>
                <w:spacing w:val="0"/>
                <w:sz w:val="21"/>
                <w:szCs w:val="21"/>
                <w:shd w:val="clear" w:fill="FFFFFF"/>
                <w:lang w:eastAsia="zh-CN"/>
              </w:rPr>
              <w:t>科学技术</w:t>
            </w:r>
            <w:r>
              <w:rPr>
                <w:rFonts w:hint="eastAsia" w:ascii="Arial" w:hAnsi="Arial" w:eastAsia="宋体" w:cs="Arial"/>
                <w:i w:val="0"/>
                <w:caps w:val="0"/>
                <w:color w:val="5C5C5C"/>
                <w:spacing w:val="0"/>
                <w:sz w:val="21"/>
                <w:szCs w:val="21"/>
                <w:shd w:val="clear" w:fill="FFFFFF"/>
              </w:rPr>
              <w:t>局</w:t>
            </w:r>
          </w:p>
        </w:tc>
        <w:tc>
          <w:tcPr>
            <w:tcW w:w="1417" w:type="dxa"/>
            <w:noWrap/>
            <w:tcMar>
              <w:top w:w="75" w:type="dxa"/>
              <w:left w:w="120" w:type="dxa"/>
              <w:bottom w:w="75" w:type="dxa"/>
              <w:right w:w="120" w:type="dxa"/>
            </w:tcMar>
            <w:vAlign w:val="center"/>
          </w:tcPr>
          <w:p>
            <w:pPr>
              <w:widowControl/>
              <w:wordWrap w:val="0"/>
              <w:jc w:val="left"/>
              <w:rPr>
                <w:rFonts w:hint="eastAsia" w:ascii="宋体" w:hAnsi="宋体" w:eastAsia="宋体" w:cs="宋体"/>
                <w:kern w:val="0"/>
                <w:sz w:val="24"/>
                <w:szCs w:val="24"/>
              </w:rPr>
            </w:pPr>
            <w:r>
              <w:rPr>
                <w:rFonts w:hint="eastAsia" w:ascii="Arial" w:hAnsi="Arial" w:eastAsia="宋体" w:cs="Arial"/>
                <w:i w:val="0"/>
                <w:caps w:val="0"/>
                <w:color w:val="5C5C5C"/>
                <w:spacing w:val="0"/>
                <w:sz w:val="21"/>
                <w:szCs w:val="21"/>
                <w:shd w:val="clear" w:fill="FFFFFF"/>
              </w:rPr>
              <w:t>对外国人来华工作的监管</w:t>
            </w:r>
          </w:p>
        </w:tc>
        <w:tc>
          <w:tcPr>
            <w:tcW w:w="4668" w:type="dxa"/>
            <w:noWrap/>
            <w:tcMar>
              <w:top w:w="75" w:type="dxa"/>
              <w:left w:w="120" w:type="dxa"/>
              <w:bottom w:w="75" w:type="dxa"/>
              <w:right w:w="120" w:type="dxa"/>
            </w:tcMar>
            <w:vAlign w:val="center"/>
          </w:tcPr>
          <w:p>
            <w:pPr>
              <w:widowControl/>
              <w:numPr>
                <w:ilvl w:val="0"/>
                <w:numId w:val="1"/>
              </w:numPr>
              <w:wordWrap w:val="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外国人在中国境内工作，应当按照规定取得工作许可和工作类居留证件。任何单位和个人不得聘用未取得工作许可和工作类居留许可的外国人</w:t>
            </w:r>
          </w:p>
          <w:p>
            <w:pPr>
              <w:widowControl/>
              <w:numPr>
                <w:ilvl w:val="0"/>
                <w:numId w:val="1"/>
              </w:numPr>
              <w:wordWrap w:val="0"/>
              <w:jc w:val="left"/>
              <w:rPr>
                <w:rFonts w:hint="eastAsia" w:ascii="Arial" w:hAnsi="Arial" w:eastAsia="宋体" w:cs="Arial"/>
                <w:i w:val="0"/>
                <w:caps w:val="0"/>
                <w:color w:val="5C5C5C"/>
                <w:spacing w:val="0"/>
                <w:sz w:val="21"/>
                <w:szCs w:val="21"/>
                <w:shd w:val="clear" w:fill="FFFFFF"/>
              </w:rPr>
            </w:pPr>
            <w:r>
              <w:rPr>
                <w:rFonts w:hint="eastAsia" w:ascii="Arial" w:hAnsi="Arial" w:eastAsia="宋体" w:cs="Arial"/>
                <w:i w:val="0"/>
                <w:caps w:val="0"/>
                <w:color w:val="5C5C5C"/>
                <w:spacing w:val="0"/>
                <w:sz w:val="21"/>
                <w:szCs w:val="21"/>
                <w:shd w:val="clear" w:fill="FFFFFF"/>
                <w:lang w:eastAsia="zh-CN"/>
              </w:rPr>
              <w:t>是否</w:t>
            </w:r>
            <w:r>
              <w:rPr>
                <w:rFonts w:ascii="Arial" w:hAnsi="Arial" w:eastAsia="宋体" w:cs="Arial"/>
                <w:i w:val="0"/>
                <w:caps w:val="0"/>
                <w:color w:val="5C5C5C"/>
                <w:spacing w:val="0"/>
                <w:sz w:val="21"/>
                <w:szCs w:val="21"/>
                <w:shd w:val="clear" w:fill="FFFFFF"/>
              </w:rPr>
              <w:t>超出工作许可限定范围，在中国境内工作的</w:t>
            </w:r>
          </w:p>
        </w:tc>
        <w:tc>
          <w:tcPr>
            <w:tcW w:w="5917" w:type="dxa"/>
            <w:noWrap/>
            <w:tcMar>
              <w:top w:w="75" w:type="dxa"/>
              <w:left w:w="120" w:type="dxa"/>
              <w:bottom w:w="75" w:type="dxa"/>
              <w:right w:w="120" w:type="dxa"/>
            </w:tcMar>
            <w:vAlign w:val="center"/>
          </w:tcPr>
          <w:p>
            <w:pPr>
              <w:widowControl/>
              <w:wordWrap w:val="0"/>
              <w:jc w:val="left"/>
              <w:rPr>
                <w:rFonts w:hint="eastAsia" w:ascii="宋体" w:hAnsi="宋体" w:eastAsia="宋体" w:cs="宋体"/>
                <w:kern w:val="0"/>
                <w:sz w:val="24"/>
                <w:szCs w:val="24"/>
              </w:rPr>
            </w:pPr>
            <w:r>
              <w:rPr>
                <w:rFonts w:hint="eastAsia" w:ascii="Arial" w:hAnsi="Arial" w:eastAsia="宋体" w:cs="Arial"/>
                <w:i w:val="0"/>
                <w:caps w:val="0"/>
                <w:color w:val="5C5C5C"/>
                <w:spacing w:val="0"/>
                <w:sz w:val="21"/>
                <w:szCs w:val="21"/>
                <w:shd w:val="clear" w:fill="FFFFFF"/>
              </w:rPr>
              <w:t>《中华人民共和国出境入境管理法》《中华人民共和国行政许可法》 </w:t>
            </w:r>
          </w:p>
        </w:tc>
        <w:tc>
          <w:tcPr>
            <w:tcW w:w="1089" w:type="dxa"/>
            <w:noWrap/>
            <w:tcMar>
              <w:top w:w="75" w:type="dxa"/>
              <w:left w:w="120" w:type="dxa"/>
              <w:bottom w:w="75" w:type="dxa"/>
              <w:right w:w="12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 </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5" w:hRule="atLeast"/>
          <w:jc w:val="center"/>
        </w:trPr>
        <w:tc>
          <w:tcPr>
            <w:tcW w:w="719" w:type="dxa"/>
            <w:noWrap/>
            <w:tcMar>
              <w:top w:w="75" w:type="dxa"/>
              <w:left w:w="120" w:type="dxa"/>
              <w:bottom w:w="75" w:type="dxa"/>
              <w:right w:w="120" w:type="dxa"/>
            </w:tcMar>
            <w:vAlign w:val="center"/>
          </w:tcPr>
          <w:p>
            <w:pPr>
              <w:widowControl/>
              <w:wordWrap w:val="0"/>
              <w:jc w:val="center"/>
              <w:rPr>
                <w:rFonts w:hint="eastAsia" w:ascii="Arial" w:hAnsi="Arial" w:eastAsia="宋体" w:cs="Arial"/>
                <w:i w:val="0"/>
                <w:caps w:val="0"/>
                <w:color w:val="5C5C5C"/>
                <w:spacing w:val="0"/>
                <w:sz w:val="21"/>
                <w:szCs w:val="21"/>
                <w:shd w:val="clear" w:fill="FFFFFF"/>
              </w:rPr>
            </w:pPr>
            <w:r>
              <w:rPr>
                <w:rFonts w:hint="eastAsia" w:ascii="Arial" w:hAnsi="Arial" w:eastAsia="宋体" w:cs="Arial"/>
                <w:i w:val="0"/>
                <w:caps w:val="0"/>
                <w:color w:val="5C5C5C"/>
                <w:spacing w:val="0"/>
                <w:sz w:val="21"/>
                <w:szCs w:val="21"/>
                <w:shd w:val="clear" w:fill="FFFFFF"/>
              </w:rPr>
              <w:t>2</w:t>
            </w:r>
          </w:p>
        </w:tc>
        <w:tc>
          <w:tcPr>
            <w:tcW w:w="1535" w:type="dxa"/>
            <w:noWrap/>
            <w:tcMar>
              <w:top w:w="75" w:type="dxa"/>
              <w:left w:w="120" w:type="dxa"/>
              <w:bottom w:w="75" w:type="dxa"/>
              <w:right w:w="120" w:type="dxa"/>
            </w:tcMar>
            <w:vAlign w:val="center"/>
          </w:tcPr>
          <w:p>
            <w:pPr>
              <w:widowControl/>
              <w:wordWrap w:val="0"/>
              <w:jc w:val="center"/>
              <w:rPr>
                <w:rFonts w:hint="eastAsia" w:ascii="Arial" w:hAnsi="Arial" w:eastAsia="宋体" w:cs="Arial"/>
                <w:i w:val="0"/>
                <w:caps w:val="0"/>
                <w:color w:val="5C5C5C"/>
                <w:spacing w:val="0"/>
                <w:sz w:val="21"/>
                <w:szCs w:val="21"/>
                <w:shd w:val="clear" w:fill="FFFFFF"/>
              </w:rPr>
            </w:pPr>
            <w:r>
              <w:rPr>
                <w:rFonts w:hint="eastAsia" w:ascii="Arial" w:hAnsi="Arial" w:eastAsia="宋体" w:cs="Arial"/>
                <w:i w:val="0"/>
                <w:caps w:val="0"/>
                <w:color w:val="5C5C5C"/>
                <w:spacing w:val="0"/>
                <w:sz w:val="21"/>
                <w:szCs w:val="21"/>
                <w:shd w:val="clear" w:fill="FFFFFF"/>
              </w:rPr>
              <w:t>龙泉市</w:t>
            </w:r>
            <w:r>
              <w:rPr>
                <w:rFonts w:hint="eastAsia" w:ascii="Arial" w:hAnsi="Arial" w:eastAsia="宋体" w:cs="Arial"/>
                <w:i w:val="0"/>
                <w:caps w:val="0"/>
                <w:color w:val="5C5C5C"/>
                <w:spacing w:val="0"/>
                <w:sz w:val="21"/>
                <w:szCs w:val="21"/>
                <w:shd w:val="clear" w:fill="FFFFFF"/>
                <w:lang w:eastAsia="zh-CN"/>
              </w:rPr>
              <w:t>科学技术</w:t>
            </w:r>
            <w:r>
              <w:rPr>
                <w:rFonts w:hint="eastAsia" w:ascii="Arial" w:hAnsi="Arial" w:eastAsia="宋体" w:cs="Arial"/>
                <w:i w:val="0"/>
                <w:caps w:val="0"/>
                <w:color w:val="5C5C5C"/>
                <w:spacing w:val="0"/>
                <w:sz w:val="21"/>
                <w:szCs w:val="21"/>
                <w:shd w:val="clear" w:fill="FFFFFF"/>
              </w:rPr>
              <w:t>局</w:t>
            </w:r>
          </w:p>
        </w:tc>
        <w:tc>
          <w:tcPr>
            <w:tcW w:w="1417" w:type="dxa"/>
            <w:noWrap/>
            <w:tcMar>
              <w:top w:w="75" w:type="dxa"/>
              <w:left w:w="120" w:type="dxa"/>
              <w:bottom w:w="75" w:type="dxa"/>
              <w:right w:w="120" w:type="dxa"/>
            </w:tcMar>
            <w:vAlign w:val="center"/>
          </w:tcPr>
          <w:p>
            <w:pPr>
              <w:widowControl/>
              <w:wordWrap w:val="0"/>
              <w:jc w:val="center"/>
              <w:rPr>
                <w:rFonts w:ascii="宋体" w:hAnsi="宋体" w:eastAsia="宋体" w:cs="宋体"/>
                <w:kern w:val="0"/>
                <w:sz w:val="24"/>
                <w:szCs w:val="24"/>
              </w:rPr>
            </w:pPr>
            <w:r>
              <w:rPr>
                <w:rFonts w:ascii="Arial" w:hAnsi="Arial" w:eastAsia="宋体" w:cs="Arial"/>
                <w:i w:val="0"/>
                <w:caps w:val="0"/>
                <w:color w:val="5C5C5C"/>
                <w:spacing w:val="0"/>
                <w:sz w:val="21"/>
                <w:szCs w:val="21"/>
                <w:shd w:val="clear" w:fill="FFFFFF"/>
              </w:rPr>
              <w:t>对未按照要求增建抗干扰设施或者新建地震监测设施行为的监管</w:t>
            </w:r>
          </w:p>
        </w:tc>
        <w:tc>
          <w:tcPr>
            <w:tcW w:w="4668" w:type="dxa"/>
            <w:noWrap/>
            <w:tcMar>
              <w:top w:w="75" w:type="dxa"/>
              <w:left w:w="120" w:type="dxa"/>
              <w:bottom w:w="75" w:type="dxa"/>
              <w:right w:w="120" w:type="dxa"/>
            </w:tcMar>
            <w:vAlign w:val="center"/>
          </w:tcPr>
          <w:p>
            <w:pPr>
              <w:widowControl/>
              <w:numPr>
                <w:ilvl w:val="0"/>
                <w:numId w:val="2"/>
              </w:numPr>
              <w:wordWrap w:val="0"/>
              <w:jc w:val="left"/>
              <w:rPr>
                <w:rFonts w:ascii="Arial" w:hAnsi="Arial" w:eastAsia="宋体" w:cs="Arial"/>
                <w:i w:val="0"/>
                <w:caps w:val="0"/>
                <w:color w:val="5C5C5C"/>
                <w:spacing w:val="0"/>
                <w:sz w:val="21"/>
                <w:szCs w:val="21"/>
                <w:shd w:val="clear" w:fill="FFFFFF"/>
              </w:rPr>
            </w:pPr>
            <w:r>
              <w:rPr>
                <w:rFonts w:hint="eastAsia" w:ascii="Arial" w:hAnsi="Arial" w:eastAsia="宋体" w:cs="Arial"/>
                <w:i w:val="0"/>
                <w:caps w:val="0"/>
                <w:color w:val="5C5C5C"/>
                <w:spacing w:val="0"/>
                <w:sz w:val="21"/>
                <w:szCs w:val="21"/>
                <w:shd w:val="clear" w:fill="FFFFFF"/>
                <w:lang w:eastAsia="zh-CN"/>
              </w:rPr>
              <w:t>是否</w:t>
            </w:r>
            <w:r>
              <w:rPr>
                <w:rFonts w:ascii="Arial" w:hAnsi="Arial" w:eastAsia="宋体" w:cs="Arial"/>
                <w:i w:val="0"/>
                <w:caps w:val="0"/>
                <w:color w:val="5C5C5C"/>
                <w:spacing w:val="0"/>
                <w:sz w:val="21"/>
                <w:szCs w:val="21"/>
                <w:shd w:val="clear" w:fill="FFFFFF"/>
              </w:rPr>
              <w:t>违反本法规定，未按照要求增建抗干扰设施或者新建地震监测设施的</w:t>
            </w:r>
          </w:p>
          <w:p>
            <w:pPr>
              <w:widowControl/>
              <w:numPr>
                <w:ilvl w:val="0"/>
                <w:numId w:val="2"/>
              </w:numPr>
              <w:wordWrap w:val="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建设单位从事建设活动时，</w:t>
            </w:r>
            <w:r>
              <w:rPr>
                <w:rFonts w:hint="eastAsia" w:ascii="Arial" w:hAnsi="Arial" w:eastAsia="宋体" w:cs="Arial"/>
                <w:i w:val="0"/>
                <w:caps w:val="0"/>
                <w:color w:val="5C5C5C"/>
                <w:spacing w:val="0"/>
                <w:sz w:val="21"/>
                <w:szCs w:val="21"/>
                <w:shd w:val="clear" w:fill="FFFFFF"/>
                <w:lang w:eastAsia="zh-CN"/>
              </w:rPr>
              <w:t>是否</w:t>
            </w:r>
            <w:r>
              <w:rPr>
                <w:rFonts w:ascii="Arial" w:hAnsi="Arial" w:eastAsia="宋体" w:cs="Arial"/>
                <w:i w:val="0"/>
                <w:caps w:val="0"/>
                <w:color w:val="5C5C5C"/>
                <w:spacing w:val="0"/>
                <w:sz w:val="21"/>
                <w:szCs w:val="21"/>
                <w:shd w:val="clear" w:fill="FFFFFF"/>
              </w:rPr>
              <w:t>按照要求增建抗干扰设施或者新建地震监测设施，对地震监测设施或者地震观测环境造成破坏</w:t>
            </w:r>
          </w:p>
        </w:tc>
        <w:tc>
          <w:tcPr>
            <w:tcW w:w="5917" w:type="dxa"/>
            <w:noWrap/>
            <w:tcMar>
              <w:top w:w="75" w:type="dxa"/>
              <w:left w:w="120" w:type="dxa"/>
              <w:bottom w:w="75" w:type="dxa"/>
              <w:right w:w="120" w:type="dxa"/>
            </w:tcMar>
            <w:vAlign w:val="center"/>
          </w:tcPr>
          <w:p>
            <w:pPr>
              <w:widowControl/>
              <w:wordWrap w:val="0"/>
              <w:jc w:val="left"/>
              <w:rPr>
                <w:rFonts w:ascii="宋体" w:hAnsi="宋体" w:eastAsia="宋体" w:cs="宋体"/>
                <w:kern w:val="0"/>
                <w:sz w:val="24"/>
                <w:szCs w:val="24"/>
              </w:rPr>
            </w:pPr>
            <w:r>
              <w:rPr>
                <w:rFonts w:ascii="Arial" w:hAnsi="Arial" w:eastAsia="宋体" w:cs="Arial"/>
                <w:i w:val="0"/>
                <w:caps w:val="0"/>
                <w:color w:val="5C5C5C"/>
                <w:spacing w:val="0"/>
                <w:sz w:val="21"/>
                <w:szCs w:val="21"/>
                <w:shd w:val="clear" w:fill="FFFFFF"/>
              </w:rPr>
              <w:t>《中华人民共和国防震减灾法》《地震监测管理条例》</w:t>
            </w:r>
            <w:bookmarkStart w:id="0" w:name="_GoBack"/>
            <w:bookmarkEnd w:id="0"/>
          </w:p>
        </w:tc>
        <w:tc>
          <w:tcPr>
            <w:tcW w:w="1089" w:type="dxa"/>
            <w:noWrap/>
            <w:tcMar>
              <w:top w:w="75" w:type="dxa"/>
              <w:left w:w="120" w:type="dxa"/>
              <w:bottom w:w="75" w:type="dxa"/>
              <w:right w:w="12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0" w:hRule="atLeast"/>
          <w:jc w:val="center"/>
        </w:trPr>
        <w:tc>
          <w:tcPr>
            <w:tcW w:w="719" w:type="dxa"/>
            <w:noWrap/>
            <w:tcMar>
              <w:top w:w="75" w:type="dxa"/>
              <w:left w:w="120" w:type="dxa"/>
              <w:bottom w:w="75" w:type="dxa"/>
              <w:right w:w="120" w:type="dxa"/>
            </w:tcMar>
            <w:vAlign w:val="center"/>
          </w:tcPr>
          <w:p>
            <w:pPr>
              <w:widowControl/>
              <w:wordWrap w:val="0"/>
              <w:jc w:val="center"/>
              <w:rPr>
                <w:rFonts w:hint="eastAsia" w:ascii="Arial" w:hAnsi="Arial" w:eastAsia="宋体" w:cs="Arial"/>
                <w:i w:val="0"/>
                <w:caps w:val="0"/>
                <w:color w:val="5C5C5C"/>
                <w:spacing w:val="0"/>
                <w:sz w:val="21"/>
                <w:szCs w:val="21"/>
                <w:shd w:val="clear" w:fill="FFFFFF"/>
                <w:lang w:val="en-US" w:eastAsia="zh-CN"/>
              </w:rPr>
            </w:pPr>
            <w:r>
              <w:rPr>
                <w:rFonts w:hint="eastAsia" w:ascii="Arial" w:hAnsi="Arial" w:eastAsia="宋体" w:cs="Arial"/>
                <w:i w:val="0"/>
                <w:caps w:val="0"/>
                <w:color w:val="5C5C5C"/>
                <w:spacing w:val="0"/>
                <w:sz w:val="21"/>
                <w:szCs w:val="21"/>
                <w:shd w:val="clear" w:fill="FFFFFF"/>
                <w:lang w:val="en-US" w:eastAsia="zh-CN"/>
              </w:rPr>
              <w:t>3</w:t>
            </w:r>
          </w:p>
        </w:tc>
        <w:tc>
          <w:tcPr>
            <w:tcW w:w="1535" w:type="dxa"/>
            <w:noWrap/>
            <w:tcMar>
              <w:top w:w="75" w:type="dxa"/>
              <w:left w:w="120" w:type="dxa"/>
              <w:bottom w:w="75" w:type="dxa"/>
              <w:right w:w="120" w:type="dxa"/>
            </w:tcMar>
            <w:vAlign w:val="center"/>
          </w:tcPr>
          <w:p>
            <w:pPr>
              <w:widowControl/>
              <w:wordWrap w:val="0"/>
              <w:jc w:val="center"/>
              <w:rPr>
                <w:rFonts w:hint="eastAsia" w:ascii="Arial" w:hAnsi="Arial" w:eastAsia="宋体" w:cs="Arial"/>
                <w:i w:val="0"/>
                <w:caps w:val="0"/>
                <w:color w:val="5C5C5C"/>
                <w:spacing w:val="0"/>
                <w:sz w:val="21"/>
                <w:szCs w:val="21"/>
                <w:shd w:val="clear" w:fill="FFFFFF"/>
              </w:rPr>
            </w:pPr>
            <w:r>
              <w:rPr>
                <w:rFonts w:hint="eastAsia" w:ascii="Arial" w:hAnsi="Arial" w:eastAsia="宋体" w:cs="Arial"/>
                <w:i w:val="0"/>
                <w:caps w:val="0"/>
                <w:color w:val="5C5C5C"/>
                <w:spacing w:val="0"/>
                <w:sz w:val="21"/>
                <w:szCs w:val="21"/>
                <w:shd w:val="clear" w:fill="FFFFFF"/>
              </w:rPr>
              <w:t>龙泉市</w:t>
            </w:r>
            <w:r>
              <w:rPr>
                <w:rFonts w:hint="eastAsia" w:ascii="Arial" w:hAnsi="Arial" w:eastAsia="宋体" w:cs="Arial"/>
                <w:i w:val="0"/>
                <w:caps w:val="0"/>
                <w:color w:val="5C5C5C"/>
                <w:spacing w:val="0"/>
                <w:sz w:val="21"/>
                <w:szCs w:val="21"/>
                <w:shd w:val="clear" w:fill="FFFFFF"/>
                <w:lang w:eastAsia="zh-CN"/>
              </w:rPr>
              <w:t>科学技术</w:t>
            </w:r>
            <w:r>
              <w:rPr>
                <w:rFonts w:hint="eastAsia" w:ascii="Arial" w:hAnsi="Arial" w:eastAsia="宋体" w:cs="Arial"/>
                <w:i w:val="0"/>
                <w:caps w:val="0"/>
                <w:color w:val="5C5C5C"/>
                <w:spacing w:val="0"/>
                <w:sz w:val="21"/>
                <w:szCs w:val="21"/>
                <w:shd w:val="clear" w:fill="FFFFFF"/>
              </w:rPr>
              <w:t>局</w:t>
            </w:r>
          </w:p>
        </w:tc>
        <w:tc>
          <w:tcPr>
            <w:tcW w:w="1417" w:type="dxa"/>
            <w:noWrap/>
            <w:tcMar>
              <w:top w:w="75" w:type="dxa"/>
              <w:left w:w="120" w:type="dxa"/>
              <w:bottom w:w="75" w:type="dxa"/>
              <w:right w:w="120" w:type="dxa"/>
            </w:tcMar>
            <w:vAlign w:val="center"/>
          </w:tcPr>
          <w:p>
            <w:pPr>
              <w:widowControl/>
              <w:wordWrap w:val="0"/>
              <w:jc w:val="center"/>
              <w:rPr>
                <w:rFonts w:ascii="宋体" w:hAnsi="宋体" w:eastAsia="宋体" w:cs="宋体"/>
                <w:kern w:val="0"/>
                <w:sz w:val="24"/>
                <w:szCs w:val="24"/>
              </w:rPr>
            </w:pPr>
            <w:r>
              <w:rPr>
                <w:rFonts w:ascii="Arial" w:hAnsi="Arial" w:eastAsia="宋体" w:cs="Arial"/>
                <w:i w:val="0"/>
                <w:caps w:val="0"/>
                <w:color w:val="5C5C5C"/>
                <w:spacing w:val="0"/>
                <w:sz w:val="21"/>
                <w:szCs w:val="21"/>
                <w:shd w:val="clear" w:fill="FFFFFF"/>
              </w:rPr>
              <w:t>地震安全性评估单位监管</w:t>
            </w:r>
          </w:p>
        </w:tc>
        <w:tc>
          <w:tcPr>
            <w:tcW w:w="4668" w:type="dxa"/>
            <w:noWrap/>
            <w:tcMar>
              <w:top w:w="75" w:type="dxa"/>
              <w:left w:w="120" w:type="dxa"/>
              <w:bottom w:w="75" w:type="dxa"/>
              <w:right w:w="120" w:type="dxa"/>
            </w:tcMar>
            <w:vAlign w:val="center"/>
          </w:tcPr>
          <w:p>
            <w:pPr>
              <w:widowControl/>
              <w:numPr>
                <w:ilvl w:val="0"/>
                <w:numId w:val="3"/>
              </w:numPr>
              <w:wordWrap w:val="0"/>
              <w:jc w:val="left"/>
              <w:rPr>
                <w:rFonts w:ascii="Arial" w:hAnsi="Arial" w:eastAsia="宋体" w:cs="Arial"/>
                <w:i w:val="0"/>
                <w:caps w:val="0"/>
                <w:color w:val="5C5C5C"/>
                <w:spacing w:val="0"/>
                <w:sz w:val="21"/>
                <w:szCs w:val="21"/>
                <w:shd w:val="clear" w:fill="FFFFFF"/>
              </w:rPr>
            </w:pPr>
            <w:r>
              <w:rPr>
                <w:rFonts w:hint="eastAsia" w:ascii="Arial" w:hAnsi="Arial" w:eastAsia="宋体" w:cs="Arial"/>
                <w:i w:val="0"/>
                <w:caps w:val="0"/>
                <w:color w:val="5C5C5C"/>
                <w:spacing w:val="0"/>
                <w:sz w:val="21"/>
                <w:szCs w:val="21"/>
                <w:shd w:val="clear" w:fill="FFFFFF"/>
                <w:lang w:val="en-US" w:eastAsia="zh-CN"/>
              </w:rPr>
              <w:t>是否</w:t>
            </w:r>
            <w:r>
              <w:rPr>
                <w:rFonts w:ascii="Arial" w:hAnsi="Arial" w:eastAsia="宋体" w:cs="Arial"/>
                <w:i w:val="0"/>
                <w:caps w:val="0"/>
                <w:color w:val="5C5C5C"/>
                <w:spacing w:val="0"/>
                <w:sz w:val="21"/>
                <w:szCs w:val="21"/>
                <w:shd w:val="clear" w:fill="FFFFFF"/>
              </w:rPr>
              <w:t>依法进行地震安全性评价，或者按照地震安全性评价报告所确定的抗震设防要求进行抗震设防</w:t>
            </w:r>
          </w:p>
          <w:p>
            <w:pPr>
              <w:widowControl/>
              <w:numPr>
                <w:ilvl w:val="0"/>
                <w:numId w:val="3"/>
              </w:numPr>
              <w:wordWrap w:val="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对地震安全性评价工作的监督检查</w:t>
            </w:r>
          </w:p>
        </w:tc>
        <w:tc>
          <w:tcPr>
            <w:tcW w:w="5917" w:type="dxa"/>
            <w:noWrap/>
            <w:tcMar>
              <w:top w:w="75" w:type="dxa"/>
              <w:left w:w="120" w:type="dxa"/>
              <w:bottom w:w="75" w:type="dxa"/>
              <w:right w:w="120" w:type="dxa"/>
            </w:tcMar>
            <w:vAlign w:val="center"/>
          </w:tcPr>
          <w:p>
            <w:pPr>
              <w:widowControl/>
              <w:wordWrap w:val="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《中华人民共和国防震减灾法》《地震安全性评价管理条例》</w:t>
            </w:r>
          </w:p>
        </w:tc>
        <w:tc>
          <w:tcPr>
            <w:tcW w:w="1089" w:type="dxa"/>
            <w:noWrap/>
            <w:tcMar>
              <w:top w:w="75" w:type="dxa"/>
              <w:left w:w="120" w:type="dxa"/>
              <w:bottom w:w="75" w:type="dxa"/>
              <w:right w:w="120" w:type="dxa"/>
            </w:tcMar>
            <w:vAlign w:val="center"/>
          </w:tcPr>
          <w:p>
            <w:pPr>
              <w:widowControl/>
              <w:wordWrap w:val="0"/>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0" w:hRule="atLeast"/>
          <w:jc w:val="center"/>
        </w:trPr>
        <w:tc>
          <w:tcPr>
            <w:tcW w:w="719" w:type="dxa"/>
            <w:noWrap/>
            <w:tcMar>
              <w:top w:w="75" w:type="dxa"/>
              <w:left w:w="120" w:type="dxa"/>
              <w:bottom w:w="75" w:type="dxa"/>
              <w:right w:w="120" w:type="dxa"/>
            </w:tcMar>
            <w:vAlign w:val="center"/>
          </w:tcPr>
          <w:p>
            <w:pPr>
              <w:widowControl/>
              <w:wordWrap w:val="0"/>
              <w:jc w:val="center"/>
              <w:rPr>
                <w:rFonts w:hint="eastAsia" w:ascii="Arial" w:hAnsi="Arial" w:eastAsia="宋体" w:cs="Arial"/>
                <w:i w:val="0"/>
                <w:caps w:val="0"/>
                <w:color w:val="5C5C5C"/>
                <w:spacing w:val="0"/>
                <w:sz w:val="21"/>
                <w:szCs w:val="21"/>
                <w:shd w:val="clear" w:fill="FFFFFF"/>
                <w:lang w:val="en-US" w:eastAsia="zh-CN"/>
              </w:rPr>
            </w:pPr>
            <w:r>
              <w:rPr>
                <w:rFonts w:hint="eastAsia" w:ascii="Arial" w:hAnsi="Arial" w:eastAsia="宋体" w:cs="Arial"/>
                <w:i w:val="0"/>
                <w:caps w:val="0"/>
                <w:color w:val="5C5C5C"/>
                <w:spacing w:val="0"/>
                <w:sz w:val="21"/>
                <w:szCs w:val="21"/>
                <w:shd w:val="clear" w:fill="FFFFFF"/>
                <w:lang w:val="en-US" w:eastAsia="zh-CN"/>
              </w:rPr>
              <w:t>4</w:t>
            </w:r>
          </w:p>
        </w:tc>
        <w:tc>
          <w:tcPr>
            <w:tcW w:w="1535" w:type="dxa"/>
            <w:noWrap/>
            <w:tcMar>
              <w:top w:w="75" w:type="dxa"/>
              <w:left w:w="120" w:type="dxa"/>
              <w:bottom w:w="75" w:type="dxa"/>
              <w:right w:w="120" w:type="dxa"/>
            </w:tcMar>
            <w:vAlign w:val="center"/>
          </w:tcPr>
          <w:p>
            <w:pPr>
              <w:widowControl/>
              <w:wordWrap w:val="0"/>
              <w:jc w:val="center"/>
              <w:rPr>
                <w:rFonts w:hint="eastAsia" w:ascii="Arial" w:hAnsi="Arial" w:eastAsia="宋体" w:cs="Arial"/>
                <w:i w:val="0"/>
                <w:caps w:val="0"/>
                <w:color w:val="5C5C5C"/>
                <w:spacing w:val="0"/>
                <w:sz w:val="21"/>
                <w:szCs w:val="21"/>
                <w:shd w:val="clear" w:fill="FFFFFF"/>
              </w:rPr>
            </w:pPr>
            <w:r>
              <w:rPr>
                <w:rFonts w:hint="eastAsia" w:ascii="Arial" w:hAnsi="Arial" w:eastAsia="宋体" w:cs="Arial"/>
                <w:i w:val="0"/>
                <w:caps w:val="0"/>
                <w:color w:val="5C5C5C"/>
                <w:spacing w:val="0"/>
                <w:sz w:val="21"/>
                <w:szCs w:val="21"/>
                <w:shd w:val="clear" w:fill="FFFFFF"/>
              </w:rPr>
              <w:t>龙泉市</w:t>
            </w:r>
            <w:r>
              <w:rPr>
                <w:rFonts w:hint="eastAsia" w:ascii="Arial" w:hAnsi="Arial" w:eastAsia="宋体" w:cs="Arial"/>
                <w:i w:val="0"/>
                <w:caps w:val="0"/>
                <w:color w:val="5C5C5C"/>
                <w:spacing w:val="0"/>
                <w:sz w:val="21"/>
                <w:szCs w:val="21"/>
                <w:shd w:val="clear" w:fill="FFFFFF"/>
                <w:lang w:eastAsia="zh-CN"/>
              </w:rPr>
              <w:t>科学技术</w:t>
            </w:r>
            <w:r>
              <w:rPr>
                <w:rFonts w:hint="eastAsia" w:ascii="Arial" w:hAnsi="Arial" w:eastAsia="宋体" w:cs="Arial"/>
                <w:i w:val="0"/>
                <w:caps w:val="0"/>
                <w:color w:val="5C5C5C"/>
                <w:spacing w:val="0"/>
                <w:sz w:val="21"/>
                <w:szCs w:val="21"/>
                <w:shd w:val="clear" w:fill="FFFFFF"/>
              </w:rPr>
              <w:t>局</w:t>
            </w:r>
          </w:p>
        </w:tc>
        <w:tc>
          <w:tcPr>
            <w:tcW w:w="1417" w:type="dxa"/>
            <w:noWrap/>
            <w:tcMar>
              <w:top w:w="75" w:type="dxa"/>
              <w:left w:w="120" w:type="dxa"/>
              <w:bottom w:w="75" w:type="dxa"/>
              <w:right w:w="120" w:type="dxa"/>
            </w:tcMar>
            <w:vAlign w:val="center"/>
          </w:tcPr>
          <w:p>
            <w:pPr>
              <w:widowControl/>
              <w:wordWrap w:val="0"/>
              <w:jc w:val="center"/>
              <w:rPr>
                <w:rFonts w:ascii="宋体" w:hAnsi="宋体" w:eastAsia="宋体" w:cs="宋体"/>
                <w:kern w:val="0"/>
                <w:sz w:val="24"/>
                <w:szCs w:val="24"/>
              </w:rPr>
            </w:pPr>
            <w:r>
              <w:rPr>
                <w:rFonts w:ascii="Arial" w:hAnsi="Arial" w:eastAsia="宋体" w:cs="Arial"/>
                <w:i w:val="0"/>
                <w:caps w:val="0"/>
                <w:color w:val="5C5C5C"/>
                <w:spacing w:val="0"/>
                <w:sz w:val="21"/>
                <w:szCs w:val="21"/>
                <w:shd w:val="clear" w:fill="FFFFFF"/>
              </w:rPr>
              <w:t>对侵占、毁损、拆除或者擅自移动地震监测设施，危害地震观测环境，破坏典型地震遗址、遗迹行为的监管</w:t>
            </w:r>
          </w:p>
        </w:tc>
        <w:tc>
          <w:tcPr>
            <w:tcW w:w="4668" w:type="dxa"/>
            <w:noWrap/>
            <w:tcMar>
              <w:top w:w="75" w:type="dxa"/>
              <w:left w:w="120" w:type="dxa"/>
              <w:bottom w:w="75" w:type="dxa"/>
              <w:right w:w="120" w:type="dxa"/>
            </w:tcMar>
            <w:vAlign w:val="center"/>
          </w:tcPr>
          <w:p>
            <w:pPr>
              <w:widowControl/>
              <w:numPr>
                <w:ilvl w:val="0"/>
                <w:numId w:val="4"/>
              </w:numPr>
              <w:wordWrap w:val="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爆破、采矿、采石、钻井、抽水、注水；</w:t>
            </w:r>
          </w:p>
          <w:p>
            <w:pPr>
              <w:widowControl/>
              <w:numPr>
                <w:ilvl w:val="0"/>
                <w:numId w:val="4"/>
              </w:numPr>
              <w:wordWrap w:val="0"/>
              <w:ind w:left="0" w:leftChars="0" w:firstLine="0" w:firstLineChars="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在测震观测环境保护范围内设置无线信号发射装置、进行振动作业和往复机械运动；</w:t>
            </w:r>
          </w:p>
          <w:p>
            <w:pPr>
              <w:widowControl/>
              <w:numPr>
                <w:ilvl w:val="0"/>
                <w:numId w:val="4"/>
              </w:numPr>
              <w:wordWrap w:val="0"/>
              <w:ind w:left="0" w:leftChars="0" w:firstLine="0" w:firstLineChars="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在电磁观测环境保护范围内铺设金属管线、电力电缆线路、堆放磁性物品和设置高频电磁辐射装置；</w:t>
            </w:r>
          </w:p>
          <w:p>
            <w:pPr>
              <w:widowControl/>
              <w:numPr>
                <w:ilvl w:val="0"/>
                <w:numId w:val="4"/>
              </w:numPr>
              <w:wordWrap w:val="0"/>
              <w:ind w:left="0" w:leftChars="0" w:firstLine="0" w:firstLineChars="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在地形变观测环境保护范围内进行振动作业；</w:t>
            </w:r>
          </w:p>
          <w:p>
            <w:pPr>
              <w:widowControl/>
              <w:numPr>
                <w:ilvl w:val="0"/>
                <w:numId w:val="4"/>
              </w:numPr>
              <w:wordWrap w:val="0"/>
              <w:ind w:left="0" w:leftChars="0" w:firstLine="0" w:firstLineChars="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在地下流体观测环境保护范围内堆积和填埋垃圾、进行污水处理；</w:t>
            </w:r>
          </w:p>
          <w:p>
            <w:pPr>
              <w:widowControl/>
              <w:numPr>
                <w:ilvl w:val="0"/>
                <w:numId w:val="4"/>
              </w:numPr>
              <w:wordWrap w:val="0"/>
              <w:ind w:left="0" w:leftChars="0" w:firstLine="0" w:firstLineChars="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在观测线和观测标志周围设置障碍物或者擅自移动地震观测标志。</w:t>
            </w:r>
          </w:p>
        </w:tc>
        <w:tc>
          <w:tcPr>
            <w:tcW w:w="5917" w:type="dxa"/>
            <w:noWrap/>
            <w:tcMar>
              <w:top w:w="75" w:type="dxa"/>
              <w:left w:w="120" w:type="dxa"/>
              <w:bottom w:w="75" w:type="dxa"/>
              <w:right w:w="120" w:type="dxa"/>
            </w:tcMar>
            <w:vAlign w:val="center"/>
          </w:tcPr>
          <w:p>
            <w:pPr>
              <w:widowControl/>
              <w:wordWrap w:val="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《中华人民共和国防震减灾法》《地震监测管理条例》</w:t>
            </w:r>
          </w:p>
        </w:tc>
        <w:tc>
          <w:tcPr>
            <w:tcW w:w="1089" w:type="dxa"/>
            <w:noWrap/>
            <w:tcMar>
              <w:top w:w="75" w:type="dxa"/>
              <w:left w:w="120" w:type="dxa"/>
              <w:bottom w:w="75" w:type="dxa"/>
              <w:right w:w="120" w:type="dxa"/>
            </w:tcMar>
            <w:vAlign w:val="center"/>
          </w:tcPr>
          <w:p>
            <w:pPr>
              <w:widowControl/>
              <w:wordWrap w:val="0"/>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0" w:hRule="atLeast"/>
          <w:jc w:val="center"/>
        </w:trPr>
        <w:tc>
          <w:tcPr>
            <w:tcW w:w="719" w:type="dxa"/>
            <w:noWrap/>
            <w:tcMar>
              <w:top w:w="75" w:type="dxa"/>
              <w:left w:w="120" w:type="dxa"/>
              <w:bottom w:w="75" w:type="dxa"/>
              <w:right w:w="120" w:type="dxa"/>
            </w:tcMar>
            <w:vAlign w:val="center"/>
          </w:tcPr>
          <w:p>
            <w:pPr>
              <w:widowControl/>
              <w:wordWrap w:val="0"/>
              <w:jc w:val="center"/>
              <w:rPr>
                <w:rFonts w:hint="eastAsia" w:ascii="Arial" w:hAnsi="Arial" w:eastAsia="宋体" w:cs="Arial"/>
                <w:i w:val="0"/>
                <w:caps w:val="0"/>
                <w:color w:val="5C5C5C"/>
                <w:spacing w:val="0"/>
                <w:sz w:val="21"/>
                <w:szCs w:val="21"/>
                <w:shd w:val="clear" w:fill="FFFFFF"/>
                <w:lang w:val="en-US" w:eastAsia="zh-CN"/>
              </w:rPr>
            </w:pPr>
            <w:r>
              <w:rPr>
                <w:rFonts w:hint="eastAsia" w:ascii="Arial" w:hAnsi="Arial" w:eastAsia="宋体" w:cs="Arial"/>
                <w:i w:val="0"/>
                <w:caps w:val="0"/>
                <w:color w:val="5C5C5C"/>
                <w:spacing w:val="0"/>
                <w:sz w:val="21"/>
                <w:szCs w:val="21"/>
                <w:shd w:val="clear" w:fill="FFFFFF"/>
                <w:lang w:val="en-US" w:eastAsia="zh-CN"/>
              </w:rPr>
              <w:t>5</w:t>
            </w:r>
          </w:p>
        </w:tc>
        <w:tc>
          <w:tcPr>
            <w:tcW w:w="1535" w:type="dxa"/>
            <w:noWrap/>
            <w:tcMar>
              <w:top w:w="75" w:type="dxa"/>
              <w:left w:w="120" w:type="dxa"/>
              <w:bottom w:w="75" w:type="dxa"/>
              <w:right w:w="120" w:type="dxa"/>
            </w:tcMar>
            <w:vAlign w:val="center"/>
          </w:tcPr>
          <w:p>
            <w:pPr>
              <w:widowControl/>
              <w:wordWrap w:val="0"/>
              <w:jc w:val="center"/>
              <w:rPr>
                <w:rFonts w:hint="eastAsia" w:ascii="Arial" w:hAnsi="Arial" w:eastAsia="宋体" w:cs="Arial"/>
                <w:i w:val="0"/>
                <w:caps w:val="0"/>
                <w:color w:val="5C5C5C"/>
                <w:spacing w:val="0"/>
                <w:sz w:val="21"/>
                <w:szCs w:val="21"/>
                <w:shd w:val="clear" w:fill="FFFFFF"/>
              </w:rPr>
            </w:pPr>
            <w:r>
              <w:rPr>
                <w:rFonts w:hint="eastAsia" w:ascii="Arial" w:hAnsi="Arial" w:eastAsia="宋体" w:cs="Arial"/>
                <w:i w:val="0"/>
                <w:caps w:val="0"/>
                <w:color w:val="5C5C5C"/>
                <w:spacing w:val="0"/>
                <w:sz w:val="21"/>
                <w:szCs w:val="21"/>
                <w:shd w:val="clear" w:fill="FFFFFF"/>
              </w:rPr>
              <w:t>龙泉市</w:t>
            </w:r>
            <w:r>
              <w:rPr>
                <w:rFonts w:hint="eastAsia" w:ascii="Arial" w:hAnsi="Arial" w:eastAsia="宋体" w:cs="Arial"/>
                <w:i w:val="0"/>
                <w:caps w:val="0"/>
                <w:color w:val="5C5C5C"/>
                <w:spacing w:val="0"/>
                <w:sz w:val="21"/>
                <w:szCs w:val="21"/>
                <w:shd w:val="clear" w:fill="FFFFFF"/>
                <w:lang w:eastAsia="zh-CN"/>
              </w:rPr>
              <w:t>科学技术</w:t>
            </w:r>
            <w:r>
              <w:rPr>
                <w:rFonts w:hint="eastAsia" w:ascii="Arial" w:hAnsi="Arial" w:eastAsia="宋体" w:cs="Arial"/>
                <w:i w:val="0"/>
                <w:caps w:val="0"/>
                <w:color w:val="5C5C5C"/>
                <w:spacing w:val="0"/>
                <w:sz w:val="21"/>
                <w:szCs w:val="21"/>
                <w:shd w:val="clear" w:fill="FFFFFF"/>
              </w:rPr>
              <w:t>局</w:t>
            </w:r>
          </w:p>
        </w:tc>
        <w:tc>
          <w:tcPr>
            <w:tcW w:w="1417" w:type="dxa"/>
            <w:noWrap/>
            <w:tcMar>
              <w:top w:w="75" w:type="dxa"/>
              <w:left w:w="120" w:type="dxa"/>
              <w:bottom w:w="75" w:type="dxa"/>
              <w:right w:w="120" w:type="dxa"/>
            </w:tcMar>
            <w:vAlign w:val="center"/>
          </w:tcPr>
          <w:p>
            <w:pPr>
              <w:widowControl/>
              <w:wordWrap w:val="0"/>
              <w:jc w:val="center"/>
              <w:rPr>
                <w:rFonts w:ascii="宋体" w:hAnsi="宋体" w:eastAsia="宋体" w:cs="宋体"/>
                <w:kern w:val="0"/>
                <w:sz w:val="24"/>
                <w:szCs w:val="24"/>
              </w:rPr>
            </w:pPr>
            <w:r>
              <w:rPr>
                <w:rFonts w:ascii="Arial" w:hAnsi="Arial" w:eastAsia="宋体" w:cs="Arial"/>
                <w:i w:val="0"/>
                <w:caps w:val="0"/>
                <w:color w:val="5C5C5C"/>
                <w:spacing w:val="0"/>
                <w:sz w:val="21"/>
                <w:szCs w:val="21"/>
                <w:shd w:val="clear" w:fill="FFFFFF"/>
              </w:rPr>
              <w:t>对有关单位的防震减灾知识宣传教育工作的监管</w:t>
            </w:r>
          </w:p>
        </w:tc>
        <w:tc>
          <w:tcPr>
            <w:tcW w:w="4668" w:type="dxa"/>
            <w:noWrap/>
            <w:tcMar>
              <w:top w:w="75" w:type="dxa"/>
              <w:left w:w="120" w:type="dxa"/>
              <w:bottom w:w="75" w:type="dxa"/>
              <w:right w:w="120" w:type="dxa"/>
            </w:tcMar>
            <w:vAlign w:val="center"/>
          </w:tcPr>
          <w:p>
            <w:pPr>
              <w:widowControl/>
              <w:numPr>
                <w:ilvl w:val="0"/>
                <w:numId w:val="5"/>
              </w:numPr>
              <w:wordWrap w:val="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指导、协助、督促有关单位做好防震减灾知识的宣传教育和地震应急救援演练等工作</w:t>
            </w:r>
          </w:p>
          <w:p>
            <w:pPr>
              <w:widowControl/>
              <w:numPr>
                <w:ilvl w:val="0"/>
                <w:numId w:val="5"/>
              </w:numPr>
              <w:wordWrap w:val="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对防震减灾规划和地震应急预案的编制与实施、地震应急避难场所的设置与管理、地震灾害紧急救援队伍的培训、防震减灾知识宣传教育和地震应急救援演练等工作的监督检查</w:t>
            </w:r>
          </w:p>
        </w:tc>
        <w:tc>
          <w:tcPr>
            <w:tcW w:w="5917" w:type="dxa"/>
            <w:noWrap/>
            <w:tcMar>
              <w:top w:w="75" w:type="dxa"/>
              <w:left w:w="120" w:type="dxa"/>
              <w:bottom w:w="75" w:type="dxa"/>
              <w:right w:w="120" w:type="dxa"/>
            </w:tcMar>
            <w:vAlign w:val="center"/>
          </w:tcPr>
          <w:p>
            <w:pPr>
              <w:widowControl/>
              <w:wordWrap w:val="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《中华人民共和国防震减灾法》</w:t>
            </w:r>
          </w:p>
        </w:tc>
        <w:tc>
          <w:tcPr>
            <w:tcW w:w="1089" w:type="dxa"/>
            <w:noWrap/>
            <w:tcMar>
              <w:top w:w="75" w:type="dxa"/>
              <w:left w:w="120" w:type="dxa"/>
              <w:bottom w:w="75" w:type="dxa"/>
              <w:right w:w="120" w:type="dxa"/>
            </w:tcMar>
            <w:vAlign w:val="center"/>
          </w:tcPr>
          <w:p>
            <w:pPr>
              <w:widowControl/>
              <w:wordWrap w:val="0"/>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0" w:hRule="atLeast"/>
          <w:jc w:val="center"/>
        </w:trPr>
        <w:tc>
          <w:tcPr>
            <w:tcW w:w="719" w:type="dxa"/>
            <w:noWrap/>
            <w:tcMar>
              <w:top w:w="75" w:type="dxa"/>
              <w:left w:w="120" w:type="dxa"/>
              <w:bottom w:w="75" w:type="dxa"/>
              <w:right w:w="120" w:type="dxa"/>
            </w:tcMar>
            <w:vAlign w:val="center"/>
          </w:tcPr>
          <w:p>
            <w:pPr>
              <w:widowControl/>
              <w:wordWrap w:val="0"/>
              <w:jc w:val="center"/>
              <w:rPr>
                <w:rFonts w:hint="eastAsia" w:ascii="Arial" w:hAnsi="Arial" w:eastAsia="宋体" w:cs="Arial"/>
                <w:i w:val="0"/>
                <w:caps w:val="0"/>
                <w:color w:val="5C5C5C"/>
                <w:spacing w:val="0"/>
                <w:sz w:val="21"/>
                <w:szCs w:val="21"/>
                <w:shd w:val="clear" w:fill="FFFFFF"/>
                <w:lang w:val="en-US" w:eastAsia="zh-CN"/>
              </w:rPr>
            </w:pPr>
            <w:r>
              <w:rPr>
                <w:rFonts w:hint="eastAsia" w:ascii="Arial" w:hAnsi="Arial" w:eastAsia="宋体" w:cs="Arial"/>
                <w:i w:val="0"/>
                <w:caps w:val="0"/>
                <w:color w:val="5C5C5C"/>
                <w:spacing w:val="0"/>
                <w:sz w:val="21"/>
                <w:szCs w:val="21"/>
                <w:shd w:val="clear" w:fill="FFFFFF"/>
                <w:lang w:val="en-US" w:eastAsia="zh-CN"/>
              </w:rPr>
              <w:t>6</w:t>
            </w:r>
          </w:p>
        </w:tc>
        <w:tc>
          <w:tcPr>
            <w:tcW w:w="1535" w:type="dxa"/>
            <w:noWrap/>
            <w:tcMar>
              <w:top w:w="75" w:type="dxa"/>
              <w:left w:w="120" w:type="dxa"/>
              <w:bottom w:w="75" w:type="dxa"/>
              <w:right w:w="120" w:type="dxa"/>
            </w:tcMar>
            <w:vAlign w:val="center"/>
          </w:tcPr>
          <w:p>
            <w:pPr>
              <w:widowControl/>
              <w:wordWrap w:val="0"/>
              <w:jc w:val="center"/>
              <w:rPr>
                <w:rFonts w:hint="eastAsia" w:ascii="Arial" w:hAnsi="Arial" w:eastAsia="宋体" w:cs="Arial"/>
                <w:i w:val="0"/>
                <w:caps w:val="0"/>
                <w:color w:val="5C5C5C"/>
                <w:spacing w:val="0"/>
                <w:sz w:val="21"/>
                <w:szCs w:val="21"/>
                <w:shd w:val="clear" w:fill="FFFFFF"/>
              </w:rPr>
            </w:pPr>
            <w:r>
              <w:rPr>
                <w:rFonts w:hint="eastAsia" w:ascii="Arial" w:hAnsi="Arial" w:eastAsia="宋体" w:cs="Arial"/>
                <w:i w:val="0"/>
                <w:caps w:val="0"/>
                <w:color w:val="5C5C5C"/>
                <w:spacing w:val="0"/>
                <w:sz w:val="21"/>
                <w:szCs w:val="21"/>
                <w:shd w:val="clear" w:fill="FFFFFF"/>
              </w:rPr>
              <w:t>龙泉市</w:t>
            </w:r>
            <w:r>
              <w:rPr>
                <w:rFonts w:hint="eastAsia" w:ascii="Arial" w:hAnsi="Arial" w:eastAsia="宋体" w:cs="Arial"/>
                <w:i w:val="0"/>
                <w:caps w:val="0"/>
                <w:color w:val="5C5C5C"/>
                <w:spacing w:val="0"/>
                <w:sz w:val="21"/>
                <w:szCs w:val="21"/>
                <w:shd w:val="clear" w:fill="FFFFFF"/>
                <w:lang w:eastAsia="zh-CN"/>
              </w:rPr>
              <w:t>科学技术</w:t>
            </w:r>
            <w:r>
              <w:rPr>
                <w:rFonts w:hint="eastAsia" w:ascii="Arial" w:hAnsi="Arial" w:eastAsia="宋体" w:cs="Arial"/>
                <w:i w:val="0"/>
                <w:caps w:val="0"/>
                <w:color w:val="5C5C5C"/>
                <w:spacing w:val="0"/>
                <w:sz w:val="21"/>
                <w:szCs w:val="21"/>
                <w:shd w:val="clear" w:fill="FFFFFF"/>
              </w:rPr>
              <w:t>局</w:t>
            </w:r>
          </w:p>
        </w:tc>
        <w:tc>
          <w:tcPr>
            <w:tcW w:w="1417" w:type="dxa"/>
            <w:noWrap/>
            <w:tcMar>
              <w:top w:w="75" w:type="dxa"/>
              <w:left w:w="120" w:type="dxa"/>
              <w:bottom w:w="75" w:type="dxa"/>
              <w:right w:w="120" w:type="dxa"/>
            </w:tcMar>
            <w:vAlign w:val="center"/>
          </w:tcPr>
          <w:p>
            <w:pPr>
              <w:widowControl/>
              <w:wordWrap w:val="0"/>
              <w:jc w:val="center"/>
              <w:rPr>
                <w:rFonts w:ascii="宋体" w:hAnsi="宋体" w:eastAsia="宋体" w:cs="宋体"/>
                <w:kern w:val="0"/>
                <w:sz w:val="24"/>
                <w:szCs w:val="24"/>
              </w:rPr>
            </w:pPr>
            <w:r>
              <w:rPr>
                <w:rFonts w:ascii="Arial" w:hAnsi="Arial" w:eastAsia="宋体" w:cs="Arial"/>
                <w:i w:val="0"/>
                <w:caps w:val="0"/>
                <w:color w:val="5C5C5C"/>
                <w:spacing w:val="0"/>
                <w:sz w:val="21"/>
                <w:szCs w:val="21"/>
                <w:shd w:val="clear" w:fill="FFFFFF"/>
              </w:rPr>
              <w:t>地震动参数复核和地震小区划结果执行的监管</w:t>
            </w:r>
          </w:p>
        </w:tc>
        <w:tc>
          <w:tcPr>
            <w:tcW w:w="4668" w:type="dxa"/>
            <w:noWrap/>
            <w:tcMar>
              <w:top w:w="75" w:type="dxa"/>
              <w:left w:w="120" w:type="dxa"/>
              <w:bottom w:w="75" w:type="dxa"/>
              <w:right w:w="120" w:type="dxa"/>
            </w:tcMar>
            <w:vAlign w:val="center"/>
          </w:tcPr>
          <w:p>
            <w:pPr>
              <w:widowControl/>
              <w:numPr>
                <w:ilvl w:val="0"/>
                <w:numId w:val="6"/>
              </w:numPr>
              <w:wordWrap w:val="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对工程建设强制性标准、抗震设防要求执行情况和地震安全性评价工作的监督检查</w:t>
            </w:r>
          </w:p>
          <w:p>
            <w:pPr>
              <w:widowControl/>
              <w:numPr>
                <w:ilvl w:val="0"/>
                <w:numId w:val="6"/>
              </w:numPr>
              <w:wordWrap w:val="0"/>
              <w:jc w:val="left"/>
              <w:rPr>
                <w:rFonts w:hint="default" w:ascii="Arial" w:hAnsi="Arial" w:eastAsia="宋体" w:cs="Arial"/>
                <w:i w:val="0"/>
                <w:caps w:val="0"/>
                <w:color w:val="5C5C5C"/>
                <w:spacing w:val="0"/>
                <w:sz w:val="21"/>
                <w:szCs w:val="21"/>
                <w:shd w:val="clear" w:fill="FFFFFF"/>
                <w:lang w:val="en-US" w:eastAsia="zh-CN"/>
              </w:rPr>
            </w:pPr>
            <w:r>
              <w:rPr>
                <w:rFonts w:ascii="Arial" w:hAnsi="Arial" w:eastAsia="宋体" w:cs="Arial"/>
                <w:i w:val="0"/>
                <w:caps w:val="0"/>
                <w:color w:val="5C5C5C"/>
                <w:spacing w:val="0"/>
                <w:sz w:val="21"/>
                <w:szCs w:val="21"/>
                <w:shd w:val="clear" w:fill="FFFFFF"/>
              </w:rPr>
              <w:t>经过地震动参数复核或者地震小区划工作的区域内不需要进行地震安全性评价的建设工程，必须按照地震动参数复核或者地震小区划结果确定的抗震设防要求进行抗震设防</w:t>
            </w:r>
          </w:p>
        </w:tc>
        <w:tc>
          <w:tcPr>
            <w:tcW w:w="5917" w:type="dxa"/>
            <w:noWrap/>
            <w:tcMar>
              <w:top w:w="75" w:type="dxa"/>
              <w:left w:w="120" w:type="dxa"/>
              <w:bottom w:w="75" w:type="dxa"/>
              <w:right w:w="120" w:type="dxa"/>
            </w:tcMar>
            <w:vAlign w:val="center"/>
          </w:tcPr>
          <w:p>
            <w:pPr>
              <w:widowControl/>
              <w:wordWrap w:val="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《中华人民共和国防震减灾法》《建设工程抗震设防要求管理规定》</w:t>
            </w:r>
          </w:p>
        </w:tc>
        <w:tc>
          <w:tcPr>
            <w:tcW w:w="1089" w:type="dxa"/>
            <w:noWrap/>
            <w:tcMar>
              <w:top w:w="75" w:type="dxa"/>
              <w:left w:w="120" w:type="dxa"/>
              <w:bottom w:w="75" w:type="dxa"/>
              <w:right w:w="120" w:type="dxa"/>
            </w:tcMar>
            <w:vAlign w:val="center"/>
          </w:tcPr>
          <w:p>
            <w:pPr>
              <w:widowControl/>
              <w:wordWrap w:val="0"/>
              <w:jc w:val="left"/>
              <w:rPr>
                <w:rFonts w:ascii="宋体" w:hAnsi="宋体" w:eastAsia="宋体" w:cs="宋体"/>
                <w:kern w:val="0"/>
                <w:sz w:val="24"/>
                <w:szCs w:val="24"/>
              </w:rPr>
            </w:pPr>
          </w:p>
        </w:tc>
      </w:tr>
    </w:tbl>
    <w:p>
      <w:pPr>
        <w:widowControl/>
        <w:shd w:val="clear" w:color="auto" w:fill="FFFFFF"/>
        <w:jc w:val="left"/>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8732DA"/>
    <w:multiLevelType w:val="singleLevel"/>
    <w:tmpl w:val="A58732DA"/>
    <w:lvl w:ilvl="0" w:tentative="0">
      <w:start w:val="1"/>
      <w:numFmt w:val="decimal"/>
      <w:lvlText w:val="%1."/>
      <w:lvlJc w:val="left"/>
      <w:pPr>
        <w:tabs>
          <w:tab w:val="left" w:pos="312"/>
        </w:tabs>
      </w:pPr>
    </w:lvl>
  </w:abstractNum>
  <w:abstractNum w:abstractNumId="1">
    <w:nsid w:val="C5A63A5B"/>
    <w:multiLevelType w:val="singleLevel"/>
    <w:tmpl w:val="C5A63A5B"/>
    <w:lvl w:ilvl="0" w:tentative="0">
      <w:start w:val="1"/>
      <w:numFmt w:val="decimal"/>
      <w:lvlText w:val="%1."/>
      <w:lvlJc w:val="left"/>
      <w:pPr>
        <w:tabs>
          <w:tab w:val="left" w:pos="312"/>
        </w:tabs>
      </w:pPr>
    </w:lvl>
  </w:abstractNum>
  <w:abstractNum w:abstractNumId="2">
    <w:nsid w:val="D128CC5D"/>
    <w:multiLevelType w:val="singleLevel"/>
    <w:tmpl w:val="D128CC5D"/>
    <w:lvl w:ilvl="0" w:tentative="0">
      <w:start w:val="1"/>
      <w:numFmt w:val="decimal"/>
      <w:lvlText w:val="%1."/>
      <w:lvlJc w:val="left"/>
      <w:pPr>
        <w:tabs>
          <w:tab w:val="left" w:pos="312"/>
        </w:tabs>
      </w:pPr>
    </w:lvl>
  </w:abstractNum>
  <w:abstractNum w:abstractNumId="3">
    <w:nsid w:val="0A3231D6"/>
    <w:multiLevelType w:val="singleLevel"/>
    <w:tmpl w:val="0A3231D6"/>
    <w:lvl w:ilvl="0" w:tentative="0">
      <w:start w:val="1"/>
      <w:numFmt w:val="decimal"/>
      <w:lvlText w:val="%1."/>
      <w:lvlJc w:val="left"/>
      <w:pPr>
        <w:tabs>
          <w:tab w:val="left" w:pos="312"/>
        </w:tabs>
      </w:pPr>
    </w:lvl>
  </w:abstractNum>
  <w:abstractNum w:abstractNumId="4">
    <w:nsid w:val="4E97D239"/>
    <w:multiLevelType w:val="singleLevel"/>
    <w:tmpl w:val="4E97D239"/>
    <w:lvl w:ilvl="0" w:tentative="0">
      <w:start w:val="1"/>
      <w:numFmt w:val="decimal"/>
      <w:lvlText w:val="%1."/>
      <w:lvlJc w:val="left"/>
      <w:pPr>
        <w:tabs>
          <w:tab w:val="left" w:pos="312"/>
        </w:tabs>
      </w:pPr>
    </w:lvl>
  </w:abstractNum>
  <w:abstractNum w:abstractNumId="5">
    <w:nsid w:val="584A98E6"/>
    <w:multiLevelType w:val="singleLevel"/>
    <w:tmpl w:val="584A98E6"/>
    <w:lvl w:ilvl="0" w:tentative="0">
      <w:start w:val="1"/>
      <w:numFmt w:val="decimal"/>
      <w:lvlText w:val="%1."/>
      <w:lvlJc w:val="left"/>
      <w:pPr>
        <w:tabs>
          <w:tab w:val="left" w:pos="312"/>
        </w:tabs>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A1"/>
    <w:rsid w:val="004241B1"/>
    <w:rsid w:val="00660A8A"/>
    <w:rsid w:val="009B7C63"/>
    <w:rsid w:val="00E329A7"/>
    <w:rsid w:val="00F250A1"/>
    <w:rsid w:val="04250F62"/>
    <w:rsid w:val="27D14D13"/>
    <w:rsid w:val="282B7FE3"/>
    <w:rsid w:val="37CE1086"/>
    <w:rsid w:val="42766BA1"/>
    <w:rsid w:val="58941728"/>
    <w:rsid w:val="69930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491</Characters>
  <Lines>4</Lines>
  <Paragraphs>1</Paragraphs>
  <TotalTime>0</TotalTime>
  <ScaleCrop>false</ScaleCrop>
  <LinksUpToDate>false</LinksUpToDate>
  <CharactersWithSpaces>576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2020-11-24T02:36:00Z</dcterms:created>
  <dc:creator>PC</dc:creator>
  <cp:lastModifiedBy>Administrator</cp:lastModifiedBy>
  <dcterms:modified xsi:type="dcterms:W3CDTF">2023-06-02T07:35:53Z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