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26"/>
        <w:rPr>
          <w:rFonts w:hint="default" w:ascii="黑体" w:eastAsia="黑体" w:cs="FZFS"/>
          <w:sz w:val="32"/>
          <w:szCs w:val="32"/>
          <w:lang w:val="en-US" w:eastAsia="zh-CN"/>
        </w:rPr>
      </w:pPr>
      <w:r>
        <w:rPr>
          <w:rFonts w:hint="eastAsia" w:ascii="黑体" w:eastAsia="黑体" w:cs="FZFS"/>
          <w:sz w:val="32"/>
          <w:szCs w:val="32"/>
        </w:rPr>
        <w:t>附件</w:t>
      </w:r>
      <w:r>
        <w:rPr>
          <w:rFonts w:hint="eastAsia" w:ascii="黑体" w:eastAsia="黑体" w:cs="FZFS"/>
          <w:sz w:val="32"/>
          <w:szCs w:val="32"/>
          <w:lang w:val="en-US" w:eastAsia="zh-CN"/>
        </w:rPr>
        <w:t>:1</w:t>
      </w:r>
    </w:p>
    <w:p>
      <w:pPr>
        <w:spacing w:line="600" w:lineRule="exact"/>
        <w:jc w:val="center"/>
        <w:rPr>
          <w:rFonts w:ascii="方正小标宋简体" w:hAnsi="宋体" w:eastAsia="方正小标宋简体" w:cs="方正大标宋简体"/>
          <w:sz w:val="44"/>
          <w:szCs w:val="44"/>
        </w:rPr>
      </w:pPr>
      <w:r>
        <w:rPr>
          <w:rFonts w:hint="eastAsia" w:ascii="方正小标宋简体" w:hAnsi="宋体" w:eastAsia="方正小标宋简体" w:cs="方正大标宋简体"/>
          <w:sz w:val="44"/>
          <w:szCs w:val="44"/>
        </w:rPr>
        <w:t>行政执法主体公告表</w:t>
      </w:r>
    </w:p>
    <w:p>
      <w:pPr>
        <w:spacing w:line="500" w:lineRule="exact"/>
        <w:rPr>
          <w:rFonts w:hint="eastAsia" w:ascii="黑体" w:eastAsia="黑体"/>
          <w:sz w:val="28"/>
          <w:szCs w:val="28"/>
        </w:rPr>
      </w:pPr>
    </w:p>
    <w:p>
      <w:pPr>
        <w:spacing w:line="500" w:lineRule="exact"/>
        <w:rPr>
          <w:rFonts w:hint="default" w:ascii="黑体" w:eastAsia="黑体"/>
          <w:sz w:val="28"/>
          <w:szCs w:val="28"/>
          <w:lang w:val="en-US" w:eastAsia="zh-CN"/>
        </w:rPr>
      </w:pPr>
      <w:r>
        <w:rPr>
          <w:rFonts w:hint="eastAsia" w:ascii="黑体" w:eastAsia="黑体"/>
          <w:sz w:val="28"/>
          <w:szCs w:val="28"/>
        </w:rPr>
        <w:t>法定行政执法机关</w:t>
      </w:r>
      <w:r>
        <w:rPr>
          <w:rFonts w:hint="eastAsia" w:ascii="黑体" w:eastAsia="黑体"/>
          <w:sz w:val="28"/>
          <w:szCs w:val="28"/>
          <w:lang w:val="en-US" w:eastAsia="zh-CN"/>
        </w:rPr>
        <w:t>:龙泉市上垟镇人民政府</w:t>
      </w:r>
      <w:r>
        <w:rPr>
          <w:rFonts w:hint="eastAsia" w:ascii="黑体" w:eastAsia="黑体"/>
          <w:sz w:val="28"/>
          <w:szCs w:val="28"/>
        </w:rPr>
        <w:t xml:space="preserve">  </w:t>
      </w:r>
      <w:r>
        <w:rPr>
          <w:rFonts w:hint="eastAsia" w:ascii="黑体" w:eastAsia="黑体"/>
          <w:sz w:val="28"/>
          <w:szCs w:val="28"/>
          <w:lang w:val="en-US" w:eastAsia="zh-CN"/>
        </w:rPr>
        <w:t xml:space="preserve">   </w:t>
      </w:r>
      <w:r>
        <w:rPr>
          <w:rFonts w:hint="eastAsia" w:ascii="黑体" w:eastAsia="黑体"/>
          <w:sz w:val="28"/>
          <w:szCs w:val="28"/>
        </w:rPr>
        <w:t xml:space="preserve">         填表人：</w:t>
      </w:r>
      <w:r>
        <w:rPr>
          <w:rFonts w:hint="eastAsia" w:ascii="黑体" w:eastAsia="黑体"/>
          <w:sz w:val="28"/>
          <w:szCs w:val="28"/>
          <w:lang w:eastAsia="zh-CN"/>
        </w:rPr>
        <w:t>项泽峰</w:t>
      </w:r>
      <w:r>
        <w:rPr>
          <w:rFonts w:hint="eastAsia" w:ascii="黑体" w:eastAsia="黑体"/>
          <w:sz w:val="28"/>
          <w:szCs w:val="28"/>
        </w:rPr>
        <w:t xml:space="preserve">   </w:t>
      </w:r>
      <w:r>
        <w:rPr>
          <w:rFonts w:hint="eastAsia" w:ascii="黑体" w:eastAsia="黑体"/>
          <w:sz w:val="28"/>
          <w:szCs w:val="28"/>
          <w:lang w:val="en-US" w:eastAsia="zh-CN"/>
        </w:rPr>
        <w:t xml:space="preserve">   </w:t>
      </w:r>
      <w:r>
        <w:rPr>
          <w:rFonts w:hint="eastAsia" w:ascii="黑体" w:eastAsia="黑体"/>
          <w:sz w:val="28"/>
          <w:szCs w:val="28"/>
        </w:rPr>
        <w:t xml:space="preserve">   联系电话：</w:t>
      </w:r>
      <w:r>
        <w:rPr>
          <w:rFonts w:hint="eastAsia" w:ascii="黑体" w:eastAsia="黑体"/>
          <w:sz w:val="28"/>
          <w:szCs w:val="28"/>
          <w:lang w:val="en-US" w:eastAsia="zh-CN"/>
        </w:rPr>
        <w:t>0578-7321744</w:t>
      </w:r>
      <w:bookmarkStart w:id="0" w:name="_GoBack"/>
      <w:bookmarkEnd w:id="0"/>
    </w:p>
    <w:tbl>
      <w:tblPr>
        <w:tblStyle w:val="4"/>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0"/>
        <w:gridCol w:w="3500"/>
        <w:gridCol w:w="3500"/>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单位名称</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地</w:t>
            </w:r>
            <w:r>
              <w:rPr>
                <w:rFonts w:eastAsia="仿宋_GB2312"/>
                <w:b/>
                <w:bCs/>
                <w:sz w:val="28"/>
                <w:szCs w:val="28"/>
              </w:rPr>
              <w:t xml:space="preserve">    </w:t>
            </w:r>
            <w:r>
              <w:rPr>
                <w:rFonts w:hint="eastAsia" w:eastAsia="仿宋_GB2312"/>
                <w:b/>
                <w:bCs/>
                <w:sz w:val="28"/>
                <w:szCs w:val="28"/>
              </w:rPr>
              <w:t>址</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举报投诉电话</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派出机构情况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bCs/>
                <w:sz w:val="28"/>
                <w:szCs w:val="28"/>
                <w:lang w:eastAsia="zh-CN"/>
              </w:rPr>
            </w:pPr>
            <w:r>
              <w:rPr>
                <w:rFonts w:hint="eastAsia" w:eastAsia="仿宋_GB2312"/>
                <w:b/>
                <w:bCs/>
                <w:sz w:val="28"/>
                <w:szCs w:val="28"/>
                <w:lang w:eastAsia="zh-CN"/>
              </w:rPr>
              <w:t>龙泉市上垟镇人民政府</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bCs/>
                <w:sz w:val="28"/>
                <w:szCs w:val="28"/>
                <w:lang w:eastAsia="zh-CN"/>
              </w:rPr>
            </w:pPr>
            <w:r>
              <w:rPr>
                <w:rFonts w:hint="eastAsia" w:eastAsia="仿宋_GB2312"/>
                <w:b/>
                <w:bCs/>
                <w:sz w:val="28"/>
                <w:szCs w:val="28"/>
                <w:lang w:eastAsia="zh-CN"/>
              </w:rPr>
              <w:t>龙泉市上垟镇木岱口村</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eastAsia="仿宋_GB2312"/>
                <w:b/>
                <w:bCs/>
                <w:sz w:val="28"/>
                <w:szCs w:val="28"/>
                <w:lang w:val="en-US" w:eastAsia="zh-CN"/>
              </w:rPr>
            </w:pPr>
            <w:r>
              <w:rPr>
                <w:rFonts w:hint="eastAsia" w:eastAsia="仿宋_GB2312"/>
                <w:b/>
                <w:bCs/>
                <w:sz w:val="28"/>
                <w:szCs w:val="28"/>
                <w:lang w:val="en-US" w:eastAsia="zh-CN"/>
              </w:rPr>
              <w:t>12345</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bCs/>
                <w:sz w:val="28"/>
                <w:szCs w:val="28"/>
                <w:lang w:eastAsia="zh-CN"/>
              </w:rPr>
            </w:pPr>
            <w:r>
              <w:rPr>
                <w:rFonts w:hint="eastAsia" w:eastAsia="仿宋_GB2312"/>
                <w:b/>
                <w:bCs/>
                <w:sz w:val="28"/>
                <w:szCs w:val="28"/>
                <w:lang w:eastAsia="zh-CN"/>
              </w:rPr>
              <w:t>无</w:t>
            </w:r>
          </w:p>
        </w:tc>
      </w:tr>
    </w:tbl>
    <w:p>
      <w:pPr>
        <w:spacing w:line="500" w:lineRule="exact"/>
        <w:rPr>
          <w:rFonts w:ascii="FZHT" w:eastAsia="FZHT"/>
          <w:sz w:val="28"/>
          <w:szCs w:val="28"/>
        </w:rPr>
      </w:pPr>
      <w:r>
        <w:rPr>
          <w:rFonts w:hint="eastAsia" w:ascii="FZHT" w:eastAsia="FZHT" w:cs="FZHT"/>
          <w:sz w:val="28"/>
          <w:szCs w:val="28"/>
        </w:rPr>
        <w:t>授权行政执法机关</w:t>
      </w:r>
    </w:p>
    <w:tbl>
      <w:tblPr>
        <w:tblStyle w:val="4"/>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0"/>
        <w:gridCol w:w="3500"/>
        <w:gridCol w:w="3500"/>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单位名称</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地</w:t>
            </w:r>
            <w:r>
              <w:rPr>
                <w:rFonts w:eastAsia="仿宋_GB2312"/>
                <w:b/>
                <w:bCs/>
                <w:sz w:val="28"/>
                <w:szCs w:val="28"/>
              </w:rPr>
              <w:t xml:space="preserve">    </w:t>
            </w:r>
            <w:r>
              <w:rPr>
                <w:rFonts w:hint="eastAsia" w:eastAsia="仿宋_GB2312"/>
                <w:b/>
                <w:bCs/>
                <w:sz w:val="28"/>
                <w:szCs w:val="28"/>
              </w:rPr>
              <w:t>址</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举报投诉电话</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派出机构情况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bCs/>
                <w:sz w:val="28"/>
                <w:szCs w:val="28"/>
                <w:lang w:val="en-US" w:eastAsia="zh-CN"/>
              </w:rPr>
            </w:pPr>
            <w:r>
              <w:rPr>
                <w:rFonts w:hint="eastAsia" w:eastAsia="仿宋_GB2312"/>
                <w:b/>
                <w:bCs/>
                <w:sz w:val="28"/>
                <w:szCs w:val="28"/>
                <w:lang w:val="en-US" w:eastAsia="zh-CN"/>
              </w:rPr>
              <w:t>无</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p>
        </w:tc>
      </w:tr>
    </w:tbl>
    <w:p>
      <w:pPr>
        <w:spacing w:line="500" w:lineRule="exact"/>
        <w:rPr>
          <w:rFonts w:ascii="黑体" w:eastAsia="黑体"/>
          <w:sz w:val="28"/>
          <w:szCs w:val="28"/>
        </w:rPr>
      </w:pPr>
      <w:r>
        <w:rPr>
          <w:rFonts w:hint="eastAsia" w:ascii="黑体" w:eastAsia="黑体"/>
          <w:sz w:val="28"/>
          <w:szCs w:val="28"/>
        </w:rPr>
        <w:t>受委托行政执法机关</w:t>
      </w:r>
    </w:p>
    <w:tbl>
      <w:tblPr>
        <w:tblStyle w:val="4"/>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2800"/>
        <w:gridCol w:w="2800"/>
        <w:gridCol w:w="2800"/>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单位名称</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委托机关</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地</w:t>
            </w:r>
            <w:r>
              <w:rPr>
                <w:rFonts w:eastAsia="仿宋_GB2312"/>
                <w:b/>
                <w:bCs/>
                <w:sz w:val="28"/>
                <w:szCs w:val="28"/>
              </w:rPr>
              <w:t xml:space="preserve">    </w:t>
            </w:r>
            <w:r>
              <w:rPr>
                <w:rFonts w:hint="eastAsia" w:eastAsia="仿宋_GB2312"/>
                <w:b/>
                <w:bCs/>
                <w:sz w:val="28"/>
                <w:szCs w:val="28"/>
              </w:rPr>
              <w:t>址</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举报投诉电话</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派出机构情况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bCs/>
                <w:sz w:val="28"/>
                <w:szCs w:val="28"/>
                <w:lang w:eastAsia="zh-CN"/>
              </w:rPr>
            </w:pPr>
            <w:r>
              <w:rPr>
                <w:rFonts w:hint="eastAsia" w:eastAsia="仿宋_GB2312"/>
                <w:b/>
                <w:bCs/>
                <w:sz w:val="28"/>
                <w:szCs w:val="28"/>
                <w:lang w:eastAsia="zh-CN"/>
              </w:rPr>
              <w:t>无</w:t>
            </w:r>
          </w:p>
        </w:tc>
        <w:tc>
          <w:tcPr>
            <w:tcW w:w="2800"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eastAsia="仿宋_GB2312"/>
                <w:b/>
                <w:bCs/>
                <w:sz w:val="28"/>
                <w:szCs w:val="28"/>
              </w:rPr>
            </w:pPr>
          </w:p>
        </w:tc>
        <w:tc>
          <w:tcPr>
            <w:tcW w:w="2800"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Cs/>
                <w:sz w:val="28"/>
                <w:szCs w:val="28"/>
              </w:rPr>
            </w:pPr>
            <w:r>
              <w:rPr>
                <w:rFonts w:hint="eastAsia" w:eastAsia="仿宋_GB2312"/>
                <w:bCs/>
                <w:sz w:val="28"/>
                <w:szCs w:val="28"/>
              </w:rPr>
              <w:t>单位：</w:t>
            </w:r>
          </w:p>
          <w:p>
            <w:pPr>
              <w:snapToGrid w:val="0"/>
              <w:rPr>
                <w:rFonts w:eastAsia="仿宋_GB2312"/>
                <w:bCs/>
                <w:sz w:val="28"/>
                <w:szCs w:val="28"/>
              </w:rPr>
            </w:pPr>
            <w:r>
              <w:rPr>
                <w:rFonts w:hint="eastAsia" w:eastAsia="仿宋_GB2312"/>
                <w:bCs/>
                <w:sz w:val="28"/>
                <w:szCs w:val="28"/>
              </w:rPr>
              <w:t>委托机关：</w:t>
            </w:r>
          </w:p>
        </w:tc>
        <w:tc>
          <w:tcPr>
            <w:tcW w:w="2800"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Cs/>
                <w:sz w:val="28"/>
                <w:szCs w:val="28"/>
              </w:rPr>
            </w:pPr>
            <w:r>
              <w:rPr>
                <w:rFonts w:hint="eastAsia" w:eastAsia="仿宋_GB2312"/>
                <w:bCs/>
                <w:sz w:val="28"/>
                <w:szCs w:val="28"/>
              </w:rPr>
              <w:t>单位：</w:t>
            </w:r>
          </w:p>
          <w:p>
            <w:pPr>
              <w:snapToGrid w:val="0"/>
              <w:rPr>
                <w:rFonts w:eastAsia="仿宋_GB2312"/>
                <w:bCs/>
                <w:sz w:val="28"/>
                <w:szCs w:val="28"/>
              </w:rPr>
            </w:pPr>
            <w:r>
              <w:rPr>
                <w:rFonts w:hint="eastAsia" w:eastAsia="仿宋_GB2312"/>
                <w:bCs/>
                <w:sz w:val="28"/>
                <w:szCs w:val="28"/>
              </w:rPr>
              <w:t>委托机关：</w:t>
            </w:r>
          </w:p>
        </w:tc>
        <w:tc>
          <w:tcPr>
            <w:tcW w:w="2800"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eastAsia="仿宋_GB2312"/>
                <w:b/>
                <w:bCs/>
                <w:sz w:val="28"/>
                <w:szCs w:val="28"/>
              </w:rPr>
            </w:pPr>
          </w:p>
        </w:tc>
      </w:tr>
    </w:tbl>
    <w:p>
      <w:pPr>
        <w:snapToGrid w:val="0"/>
        <w:spacing w:line="380" w:lineRule="exact"/>
        <w:rPr>
          <w:rFonts w:hint="eastAsia" w:ascii="仿宋_GB2312" w:eastAsia="仿宋_GB2312"/>
          <w:bCs/>
          <w:sz w:val="28"/>
          <w:szCs w:val="28"/>
        </w:rPr>
      </w:pPr>
      <w:r>
        <w:rPr>
          <w:rFonts w:hint="eastAsia" w:ascii="仿宋_GB2312" w:eastAsia="仿宋_GB2312"/>
          <w:bCs/>
          <w:sz w:val="28"/>
          <w:szCs w:val="28"/>
        </w:rPr>
        <w:t>注：1.“派出机构”一栏，请具体列明派出机构名称。</w:t>
      </w:r>
    </w:p>
    <w:p>
      <w:pPr>
        <w:snapToGrid w:val="0"/>
        <w:spacing w:line="380" w:lineRule="exact"/>
        <w:rPr>
          <w:rFonts w:hint="eastAsia" w:ascii="仿宋_GB2312" w:eastAsia="仿宋_GB2312"/>
          <w:bCs/>
          <w:sz w:val="28"/>
          <w:szCs w:val="28"/>
        </w:rPr>
      </w:pPr>
      <w:r>
        <w:rPr>
          <w:rFonts w:hint="eastAsia" w:ascii="仿宋_GB2312" w:eastAsia="仿宋_GB2312"/>
          <w:bCs/>
          <w:sz w:val="28"/>
          <w:szCs w:val="28"/>
        </w:rPr>
        <w:t xml:space="preserve">    2.“受委托行政执法机关”公告表，适用于权力来源仅为受委托执法的单位。受委托执法的单位同时具有法定行政执法职能的，只需在“法定行政执法机关”中公告；同时具有授权行政执法职能的，只需在“授权行政执法机关”中公告。</w:t>
      </w:r>
    </w:p>
    <w:p>
      <w:pPr>
        <w:snapToGrid w:val="0"/>
        <w:spacing w:line="380" w:lineRule="exact"/>
        <w:ind w:firstLine="570"/>
        <w:rPr>
          <w:rFonts w:hint="eastAsia" w:ascii="仿宋_GB2312" w:eastAsia="仿宋_GB2312"/>
          <w:bCs/>
          <w:sz w:val="28"/>
          <w:szCs w:val="28"/>
        </w:rPr>
      </w:pPr>
      <w:r>
        <w:rPr>
          <w:rFonts w:hint="eastAsia" w:ascii="仿宋_GB2312" w:eastAsia="仿宋_GB2312"/>
          <w:bCs/>
          <w:sz w:val="28"/>
          <w:szCs w:val="28"/>
        </w:rPr>
        <w:t>3.各地已统一举报投诉电话的，公告时填写统一的举报投诉电话。</w:t>
      </w:r>
    </w:p>
    <w:p>
      <w:pPr>
        <w:snapToGrid w:val="0"/>
        <w:spacing w:line="380" w:lineRule="exact"/>
        <w:ind w:firstLine="570"/>
        <w:rPr>
          <w:rFonts w:hint="eastAsia" w:ascii="仿宋_GB2312" w:eastAsia="仿宋_GB2312"/>
          <w:bCs/>
          <w:sz w:val="28"/>
          <w:szCs w:val="28"/>
        </w:rPr>
      </w:pPr>
    </w:p>
    <w:tbl>
      <w:tblPr>
        <w:tblStyle w:val="4"/>
        <w:tblpPr w:leftFromText="180" w:rightFromText="180" w:vertAnchor="page" w:horzAnchor="page" w:tblpXSpec="center" w:tblpY="1488"/>
        <w:tblOverlap w:val="never"/>
        <w:tblW w:w="10762" w:type="dxa"/>
        <w:jc w:val="center"/>
        <w:tblLayout w:type="fixed"/>
        <w:tblCellMar>
          <w:top w:w="0" w:type="dxa"/>
          <w:left w:w="0" w:type="dxa"/>
          <w:bottom w:w="0" w:type="dxa"/>
          <w:right w:w="0" w:type="dxa"/>
        </w:tblCellMar>
      </w:tblPr>
      <w:tblGrid>
        <w:gridCol w:w="615"/>
        <w:gridCol w:w="825"/>
        <w:gridCol w:w="735"/>
        <w:gridCol w:w="2379"/>
        <w:gridCol w:w="2875"/>
        <w:gridCol w:w="1196"/>
        <w:gridCol w:w="2137"/>
      </w:tblGrid>
      <w:tr>
        <w:tblPrEx>
          <w:tblCellMar>
            <w:top w:w="0" w:type="dxa"/>
            <w:left w:w="0" w:type="dxa"/>
            <w:bottom w:w="0" w:type="dxa"/>
            <w:right w:w="0" w:type="dxa"/>
          </w:tblCellMar>
        </w:tblPrEx>
        <w:trPr>
          <w:trHeight w:val="567" w:hRule="atLeast"/>
          <w:jc w:val="center"/>
        </w:trPr>
        <w:tc>
          <w:tcPr>
            <w:tcW w:w="10762" w:type="dxa"/>
            <w:gridSpan w:val="7"/>
            <w:tcBorders>
              <w:top w:val="nil"/>
              <w:left w:val="nil"/>
              <w:bottom w:val="nil"/>
              <w:right w:val="nil"/>
            </w:tcBorders>
            <w:noWrap/>
            <w:tcMar>
              <w:top w:w="15" w:type="dxa"/>
              <w:left w:w="15" w:type="dxa"/>
              <w:right w:w="15" w:type="dxa"/>
            </w:tcMar>
            <w:vAlign w:val="center"/>
          </w:tcPr>
          <w:p>
            <w:pPr>
              <w:spacing w:line="240" w:lineRule="auto"/>
              <w:ind w:right="26"/>
              <w:rPr>
                <w:rFonts w:hint="default" w:ascii="黑体" w:eastAsia="黑体" w:cs="FZFS"/>
                <w:sz w:val="32"/>
                <w:szCs w:val="32"/>
                <w:lang w:val="en-US" w:eastAsia="zh-CN"/>
              </w:rPr>
            </w:pPr>
            <w:r>
              <w:rPr>
                <w:rFonts w:hint="eastAsia" w:ascii="黑体" w:eastAsia="黑体" w:cs="FZFS"/>
                <w:sz w:val="32"/>
                <w:szCs w:val="32"/>
              </w:rPr>
              <w:t>附件</w:t>
            </w:r>
            <w:r>
              <w:rPr>
                <w:rFonts w:hint="eastAsia" w:ascii="黑体" w:eastAsia="黑体" w:cs="FZFS"/>
                <w:sz w:val="32"/>
                <w:szCs w:val="32"/>
                <w:lang w:val="en-US" w:eastAsia="zh-CN"/>
              </w:rPr>
              <w:t>:2</w:t>
            </w:r>
          </w:p>
          <w:p>
            <w:pPr>
              <w:keepNext w:val="0"/>
              <w:keepLines w:val="0"/>
              <w:widowControl/>
              <w:suppressLineNumbers w:val="0"/>
              <w:jc w:val="center"/>
              <w:textAlignment w:val="bottom"/>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上垟镇行政编制人员执法证持有情况</w:t>
            </w:r>
          </w:p>
          <w:p>
            <w:pPr>
              <w:bidi w:val="0"/>
              <w:rPr>
                <w:rFonts w:hint="eastAsia"/>
                <w:lang w:val="en-US" w:eastAsia="zh-CN"/>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序号</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姓名</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性别</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证件编号</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工作单位</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执法区域</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证件状态</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吴伟俊</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11110297012</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叶俊</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iCs w:val="0"/>
                <w:color w:val="000000"/>
                <w:kern w:val="0"/>
                <w:sz w:val="22"/>
                <w:szCs w:val="22"/>
                <w:u w:val="none"/>
                <w:lang w:val="en-US" w:eastAsia="zh-CN" w:bidi="ar"/>
              </w:rPr>
              <w:t>1002472020095219</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杨宇</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宋体" w:cs="Arial"/>
                <w:i w:val="0"/>
                <w:color w:val="000000"/>
                <w:kern w:val="2"/>
                <w:sz w:val="22"/>
                <w:szCs w:val="22"/>
                <w:u w:val="none"/>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2"/>
                <w:sz w:val="22"/>
                <w:szCs w:val="22"/>
                <w:u w:val="none"/>
                <w:lang w:val="en-US" w:eastAsia="zh-CN" w:bidi="ar-SA"/>
              </w:rPr>
              <w:t>任人大主席</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连福龙</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iCs w:val="0"/>
                <w:color w:val="000000"/>
                <w:kern w:val="0"/>
                <w:sz w:val="22"/>
                <w:szCs w:val="22"/>
                <w:u w:val="none"/>
                <w:lang w:val="en-US" w:eastAsia="zh-CN" w:bidi="ar"/>
              </w:rPr>
              <w:t>1002482018060795</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刘煜</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宋体" w:cs="Arial"/>
                <w:i w:val="0"/>
                <w:color w:val="000000"/>
                <w:kern w:val="2"/>
                <w:sz w:val="22"/>
                <w:szCs w:val="22"/>
                <w:u w:val="none"/>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2"/>
                <w:sz w:val="22"/>
                <w:szCs w:val="22"/>
                <w:u w:val="none"/>
                <w:lang w:val="en-US" w:eastAsia="zh-CN" w:bidi="ar-SA"/>
              </w:rPr>
              <w:t>任党委副书记</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22"/>
                <w:szCs w:val="22"/>
                <w:u w:val="none"/>
                <w:lang w:val="en-US" w:eastAsia="zh-CN" w:bidi="ar"/>
              </w:rPr>
            </w:pPr>
            <w:r>
              <w:rPr>
                <w:rFonts w:hint="default" w:ascii="Arial" w:hAnsi="Arial" w:eastAsia="宋体" w:cs="Arial"/>
                <w:i w:val="0"/>
                <w:color w:val="000000"/>
                <w:kern w:val="0"/>
                <w:sz w:val="22"/>
                <w:szCs w:val="22"/>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刘继军</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iCs w:val="0"/>
                <w:color w:val="000000"/>
                <w:kern w:val="0"/>
                <w:sz w:val="22"/>
                <w:szCs w:val="22"/>
                <w:u w:val="none"/>
                <w:lang w:val="en-US" w:eastAsia="zh-CN" w:bidi="ar"/>
              </w:rPr>
              <w:t>1002472018061785</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7</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彭兴龙</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iCs w:val="0"/>
                <w:color w:val="000000"/>
                <w:kern w:val="0"/>
                <w:sz w:val="22"/>
                <w:szCs w:val="22"/>
                <w:u w:val="none"/>
                <w:lang w:val="en-US" w:eastAsia="zh-CN" w:bidi="ar"/>
              </w:rPr>
              <w:t>1002472020095258</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余伟卫</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宋体" w:cs="Arial"/>
                <w:i w:val="0"/>
                <w:color w:val="000000"/>
                <w:kern w:val="2"/>
                <w:sz w:val="22"/>
                <w:szCs w:val="22"/>
                <w:u w:val="none"/>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0"/>
                <w:sz w:val="22"/>
                <w:szCs w:val="22"/>
                <w:u w:val="none"/>
                <w:lang w:val="en-US" w:eastAsia="zh-CN" w:bidi="ar"/>
              </w:rPr>
              <w:t>任人武部长</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9</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侯世昌</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iCs w:val="0"/>
                <w:color w:val="000000"/>
                <w:kern w:val="0"/>
                <w:sz w:val="22"/>
                <w:szCs w:val="22"/>
                <w:u w:val="none"/>
                <w:lang w:val="en-US" w:eastAsia="zh-CN" w:bidi="ar"/>
              </w:rPr>
              <w:t>1002472019127140</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刘美玲</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iCs w:val="0"/>
                <w:color w:val="000000"/>
                <w:kern w:val="0"/>
                <w:sz w:val="22"/>
                <w:szCs w:val="22"/>
                <w:u w:val="none"/>
                <w:lang w:val="en-US" w:eastAsia="zh-CN" w:bidi="ar"/>
              </w:rPr>
              <w:t>1002362017110199</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周思雯</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iCs w:val="0"/>
                <w:color w:val="000000"/>
                <w:kern w:val="0"/>
                <w:sz w:val="22"/>
                <w:szCs w:val="22"/>
                <w:u w:val="none"/>
                <w:lang w:val="en-US" w:eastAsia="zh-CN" w:bidi="ar"/>
              </w:rPr>
              <w:t>1002472019091923</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熊军</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22"/>
                <w:szCs w:val="22"/>
                <w:u w:val="none"/>
                <w:lang w:val="en-US" w:eastAsia="zh-CN" w:bidi="ar"/>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iCs w:val="0"/>
                <w:color w:val="000000"/>
                <w:kern w:val="0"/>
                <w:sz w:val="22"/>
                <w:szCs w:val="22"/>
                <w:u w:val="none"/>
                <w:lang w:val="en-US" w:eastAsia="zh-CN" w:bidi="ar"/>
              </w:rPr>
              <w:t>1002472019127126</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22"/>
                <w:szCs w:val="22"/>
                <w:u w:val="none"/>
                <w:lang w:val="en-US" w:eastAsia="zh-CN" w:bidi="ar"/>
              </w:rPr>
            </w:pPr>
            <w:r>
              <w:rPr>
                <w:rFonts w:hint="default" w:ascii="Arial" w:hAnsi="Arial" w:eastAsia="宋体" w:cs="Arial"/>
                <w:i w:val="0"/>
                <w:color w:val="000000"/>
                <w:kern w:val="0"/>
                <w:sz w:val="22"/>
                <w:szCs w:val="22"/>
                <w:u w:val="none"/>
                <w:lang w:val="en-US" w:eastAsia="zh-CN" w:bidi="ar"/>
              </w:rPr>
              <w:t>13</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吴德斌</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cs="Arial"/>
                <w:i w:val="0"/>
                <w:color w:val="000000"/>
                <w:kern w:val="0"/>
                <w:sz w:val="22"/>
                <w:szCs w:val="22"/>
                <w:u w:val="none"/>
                <w:lang w:val="en-US" w:eastAsia="zh-CN" w:bidi="ar"/>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iCs w:val="0"/>
                <w:color w:val="000000"/>
                <w:kern w:val="0"/>
                <w:sz w:val="22"/>
                <w:szCs w:val="22"/>
                <w:u w:val="none"/>
                <w:lang w:val="en-US" w:eastAsia="zh-CN" w:bidi="ar"/>
              </w:rPr>
              <w:t>11110297006</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22"/>
                <w:szCs w:val="22"/>
                <w:u w:val="none"/>
                <w:lang w:val="en-US" w:eastAsia="zh-CN" w:bidi="ar"/>
              </w:rPr>
            </w:pPr>
            <w:r>
              <w:rPr>
                <w:rFonts w:hint="default" w:ascii="Arial" w:hAnsi="Arial" w:eastAsia="宋体" w:cs="Arial"/>
                <w:i w:val="0"/>
                <w:color w:val="000000"/>
                <w:kern w:val="0"/>
                <w:sz w:val="22"/>
                <w:szCs w:val="22"/>
                <w:u w:val="none"/>
                <w:lang w:val="en-US" w:eastAsia="zh-CN" w:bidi="ar"/>
              </w:rPr>
              <w:t>14</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张乐翩</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2"/>
                <w:sz w:val="22"/>
                <w:szCs w:val="22"/>
                <w:u w:val="none"/>
                <w:lang w:val="en-US" w:eastAsia="zh-CN" w:bidi="ar-SA"/>
              </w:rPr>
            </w:pPr>
            <w:r>
              <w:rPr>
                <w:rFonts w:hint="eastAsia" w:ascii="Arial" w:hAnsi="Arial"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宋体" w:cs="Arial"/>
                <w:i w:val="0"/>
                <w:color w:val="000000"/>
                <w:kern w:val="2"/>
                <w:sz w:val="22"/>
                <w:szCs w:val="22"/>
                <w:u w:val="none"/>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2"/>
                <w:sz w:val="22"/>
                <w:szCs w:val="22"/>
                <w:u w:val="none"/>
                <w:lang w:val="en-US" w:eastAsia="zh-CN" w:bidi="ar-SA"/>
              </w:rPr>
            </w:pPr>
            <w:r>
              <w:rPr>
                <w:rFonts w:hint="eastAsia" w:ascii="Arial" w:hAnsi="Arial" w:cs="Arial"/>
                <w:i w:val="0"/>
                <w:color w:val="000000"/>
                <w:kern w:val="2"/>
                <w:sz w:val="22"/>
                <w:szCs w:val="22"/>
                <w:u w:val="none"/>
                <w:lang w:val="en-US" w:eastAsia="zh-CN" w:bidi="ar-SA"/>
              </w:rPr>
              <w:t>任副镇长</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钟贝贝</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11110297004</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钟水彬</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11110297005</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17</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周雨昕</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11110297007</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18</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汤剑</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11110297011</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19</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刘项昱</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iCs w:val="0"/>
                <w:color w:val="000000"/>
                <w:kern w:val="0"/>
                <w:sz w:val="22"/>
                <w:szCs w:val="22"/>
                <w:u w:val="none"/>
                <w:lang w:val="en-US" w:eastAsia="zh-CN" w:bidi="ar"/>
              </w:rPr>
              <w:t>11110297020</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陶珂</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11110297010</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蔡家程</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11110297008</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22</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季晓</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11110297009</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23</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朱作祥</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11110297003</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24</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王彬</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11110297015</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25</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潘正阳</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11110297013</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26</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余琳晔</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11110297014</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0"/>
                <w:sz w:val="22"/>
                <w:szCs w:val="22"/>
                <w:u w:val="none"/>
                <w:lang w:val="en-US" w:eastAsia="zh-CN" w:bidi="ar"/>
              </w:rPr>
              <w:t>27</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陈永健</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cs="Arial"/>
                <w:i w:val="0"/>
                <w:color w:val="000000"/>
                <w:sz w:val="22"/>
                <w:szCs w:val="22"/>
                <w:u w:val="none"/>
              </w:rPr>
            </w:pP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kern w:val="0"/>
                <w:sz w:val="22"/>
                <w:szCs w:val="22"/>
                <w:u w:val="none"/>
                <w:lang w:val="en-US" w:eastAsia="zh-CN" w:bidi="ar"/>
              </w:rPr>
              <w:t>申请中</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0"/>
                <w:sz w:val="22"/>
                <w:szCs w:val="22"/>
                <w:u w:val="none"/>
                <w:lang w:val="en-US" w:eastAsia="zh-CN" w:bidi="ar"/>
              </w:rPr>
              <w:t>28</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叶昌宇</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sz w:val="22"/>
                <w:szCs w:val="22"/>
                <w:u w:val="none"/>
                <w:lang w:val="en-US" w:eastAsia="zh-CN"/>
              </w:rPr>
            </w:pPr>
            <w:r>
              <w:rPr>
                <w:rFonts w:hint="eastAsia" w:ascii="Arial" w:hAnsi="Arial" w:cs="Arial"/>
                <w:i w:val="0"/>
                <w:color w:val="000000"/>
                <w:sz w:val="22"/>
                <w:szCs w:val="22"/>
                <w:u w:val="none"/>
                <w:lang w:val="en-US" w:eastAsia="zh-CN"/>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2"/>
                <w:szCs w:val="22"/>
                <w:u w:val="none"/>
              </w:rPr>
            </w:pP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sz w:val="22"/>
                <w:szCs w:val="22"/>
                <w:u w:val="none"/>
                <w:lang w:eastAsia="zh-CN"/>
              </w:rPr>
            </w:pPr>
            <w:r>
              <w:rPr>
                <w:rFonts w:hint="eastAsia" w:ascii="Arial" w:hAnsi="Arial" w:cs="Arial"/>
                <w:i w:val="0"/>
                <w:color w:val="000000"/>
                <w:sz w:val="22"/>
                <w:szCs w:val="22"/>
                <w:u w:val="none"/>
                <w:lang w:eastAsia="zh-CN"/>
              </w:rPr>
              <w:t>新入职公务员</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0"/>
                <w:sz w:val="22"/>
                <w:szCs w:val="22"/>
                <w:u w:val="none"/>
                <w:lang w:val="en-US" w:eastAsia="zh-CN" w:bidi="ar"/>
              </w:rPr>
              <w:t>29</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严远权</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2"/>
                <w:szCs w:val="22"/>
                <w:u w:val="none"/>
              </w:rPr>
            </w:pP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sz w:val="22"/>
                <w:szCs w:val="22"/>
                <w:u w:val="none"/>
                <w:lang w:eastAsia="zh-CN"/>
              </w:rPr>
              <w:t>新入职公务员</w:t>
            </w:r>
          </w:p>
        </w:tc>
      </w:tr>
    </w:tbl>
    <w:p/>
    <w:p>
      <w:pPr>
        <w:rPr>
          <w:rFonts w:hint="default" w:eastAsia="宋体"/>
          <w:lang w:val="en-US" w:eastAsia="zh-CN"/>
        </w:rPr>
      </w:pPr>
    </w:p>
    <w:p>
      <w:pPr>
        <w:snapToGrid w:val="0"/>
        <w:spacing w:line="380" w:lineRule="exact"/>
        <w:ind w:firstLine="570"/>
        <w:rPr>
          <w:rFonts w:hint="eastAsia" w:ascii="仿宋_GB2312" w:eastAsia="仿宋_GB2312"/>
          <w:bCs/>
          <w:sz w:val="28"/>
          <w:szCs w:val="28"/>
        </w:rPr>
      </w:pPr>
    </w:p>
    <w:p>
      <w:pPr>
        <w:snapToGrid w:val="0"/>
        <w:spacing w:line="380" w:lineRule="exact"/>
        <w:ind w:firstLine="570"/>
        <w:rPr>
          <w:rFonts w:hint="eastAsia" w:ascii="仿宋_GB2312" w:eastAsia="仿宋_GB2312"/>
          <w:bCs/>
          <w:sz w:val="28"/>
          <w:szCs w:val="28"/>
        </w:rPr>
      </w:pPr>
    </w:p>
    <w:p>
      <w:pPr>
        <w:snapToGrid w:val="0"/>
        <w:spacing w:line="380" w:lineRule="exact"/>
        <w:ind w:firstLine="570"/>
        <w:rPr>
          <w:rFonts w:hint="eastAsia" w:ascii="仿宋_GB2312" w:eastAsia="仿宋_GB2312"/>
          <w:bCs/>
          <w:sz w:val="28"/>
          <w:szCs w:val="28"/>
        </w:rPr>
      </w:pPr>
    </w:p>
    <w:p>
      <w:pPr>
        <w:snapToGrid w:val="0"/>
        <w:spacing w:line="380" w:lineRule="exact"/>
        <w:ind w:firstLine="570"/>
        <w:rPr>
          <w:rFonts w:hint="eastAsia" w:ascii="仿宋_GB2312" w:eastAsia="仿宋_GB2312"/>
          <w:bCs/>
          <w:sz w:val="28"/>
          <w:szCs w:val="28"/>
        </w:rPr>
      </w:pPr>
    </w:p>
    <w:p>
      <w:pPr>
        <w:snapToGrid w:val="0"/>
        <w:spacing w:line="380" w:lineRule="exact"/>
        <w:ind w:firstLine="570"/>
        <w:rPr>
          <w:rFonts w:hint="eastAsia" w:ascii="仿宋_GB2312" w:eastAsia="仿宋_GB2312"/>
          <w:bCs/>
          <w:sz w:val="28"/>
          <w:szCs w:val="28"/>
        </w:rPr>
      </w:pPr>
    </w:p>
    <w:p>
      <w:pPr>
        <w:snapToGrid w:val="0"/>
        <w:spacing w:line="380" w:lineRule="exact"/>
        <w:ind w:firstLine="570"/>
        <w:rPr>
          <w:rFonts w:hint="eastAsia" w:ascii="仿宋_GB2312" w:eastAsia="仿宋_GB2312"/>
          <w:bCs/>
          <w:sz w:val="28"/>
          <w:szCs w:val="28"/>
        </w:rPr>
      </w:pPr>
    </w:p>
    <w:p>
      <w:pPr>
        <w:snapToGrid w:val="0"/>
        <w:spacing w:line="380" w:lineRule="exact"/>
        <w:ind w:firstLine="570"/>
        <w:rPr>
          <w:rFonts w:hint="default" w:ascii="仿宋_GB2312" w:eastAsia="仿宋_GB2312"/>
          <w:bCs/>
          <w:sz w:val="28"/>
          <w:szCs w:val="28"/>
          <w:lang w:val="en-US" w:eastAsia="zh-CN"/>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474" w:right="1474" w:bottom="1474" w:left="1701" w:header="851" w:footer="1418" w:gutter="0"/>
          <w:cols w:space="425" w:num="1"/>
          <w:docGrid w:type="lines" w:linePitch="312" w:charSpace="0"/>
        </w:sectPr>
      </w:pPr>
      <w:r>
        <w:rPr>
          <w:rFonts w:hint="eastAsia" w:ascii="仿宋_GB2312" w:eastAsia="仿宋_GB2312"/>
          <w:bCs/>
          <w:sz w:val="28"/>
          <w:szCs w:val="28"/>
          <w:lang w:eastAsia="zh-CN"/>
        </w:rPr>
        <w:t>注：杨宇（人大主席）、刘煜（党委副书记）、余伟卫（人武部长）不需要持有执法证，叶昌宇、严远权为新入职公务员，排除以上人员，上垟镇人民政府需持有执法证人员为</w:t>
      </w:r>
      <w:r>
        <w:rPr>
          <w:rFonts w:hint="eastAsia" w:ascii="仿宋_GB2312" w:eastAsia="仿宋_GB2312"/>
          <w:bCs/>
          <w:sz w:val="28"/>
          <w:szCs w:val="28"/>
          <w:lang w:val="en-US" w:eastAsia="zh-CN"/>
        </w:rPr>
        <w:t>24人，现有22人持有，持证率为91.7%</w:t>
      </w:r>
    </w:p>
    <w:p>
      <w:pPr>
        <w:jc w:val="center"/>
        <w:rPr>
          <w:rFonts w:hint="eastAsia" w:ascii="宋体" w:hAnsi="宋体"/>
          <w:b/>
          <w:bCs/>
          <w:sz w:val="36"/>
          <w:szCs w:val="36"/>
        </w:rPr>
      </w:pPr>
      <w:r>
        <w:rPr>
          <w:rFonts w:hint="eastAsia" w:ascii="宋体" w:hAnsi="宋体"/>
          <w:b/>
          <w:bCs/>
          <w:sz w:val="36"/>
          <w:szCs w:val="36"/>
        </w:rPr>
        <w:t>附件3：上垟镇</w:t>
      </w:r>
      <w:r>
        <w:rPr>
          <w:rFonts w:hint="eastAsia" w:ascii="宋体" w:hAnsi="宋体"/>
          <w:b/>
          <w:bCs/>
          <w:sz w:val="36"/>
          <w:szCs w:val="36"/>
          <w:lang w:eastAsia="zh-CN"/>
        </w:rPr>
        <w:t>人民政府</w:t>
      </w:r>
      <w:r>
        <w:rPr>
          <w:rFonts w:hint="eastAsia" w:ascii="宋体" w:hAnsi="宋体"/>
          <w:b/>
          <w:bCs/>
          <w:sz w:val="36"/>
          <w:szCs w:val="36"/>
        </w:rPr>
        <w:t>重大执法决定法制审核流程图</w:t>
      </w:r>
    </w:p>
    <w:p>
      <w:pPr>
        <w:snapToGrid w:val="0"/>
        <w:spacing w:line="380" w:lineRule="exact"/>
        <w:ind w:firstLine="570"/>
        <w:rPr>
          <w:rFonts w:hint="eastAsia"/>
          <w:b/>
          <w:bCs/>
          <w:sz w:val="36"/>
          <w:szCs w:val="36"/>
        </w:rPr>
      </w:pPr>
      <w:r>
        <w:rPr>
          <w:rFonts w:hint="eastAsia"/>
          <w:b/>
          <w:bCs/>
          <w:sz w:val="36"/>
          <w:szCs w:val="36"/>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163195</wp:posOffset>
            </wp:positionV>
            <wp:extent cx="5727065" cy="6962140"/>
            <wp:effectExtent l="0" t="0" r="6985" b="10160"/>
            <wp:wrapSquare wrapText="bothSides"/>
            <wp:docPr id="2" name="图片 2" descr="微信截图_2020120818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01208181943"/>
                    <pic:cNvPicPr>
                      <a:picLocks noChangeAspect="1"/>
                    </pic:cNvPicPr>
                  </pic:nvPicPr>
                  <pic:blipFill>
                    <a:blip r:embed="rId10"/>
                    <a:stretch>
                      <a:fillRect/>
                    </a:stretch>
                  </pic:blipFill>
                  <pic:spPr>
                    <a:xfrm>
                      <a:off x="0" y="0"/>
                      <a:ext cx="5727065" cy="6962140"/>
                    </a:xfrm>
                    <a:prstGeom prst="rect">
                      <a:avLst/>
                    </a:prstGeom>
                    <a:noFill/>
                    <a:ln>
                      <a:noFill/>
                    </a:ln>
                  </pic:spPr>
                </pic:pic>
              </a:graphicData>
            </a:graphic>
          </wp:anchor>
        </w:drawing>
      </w:r>
      <w:r>
        <w:rPr>
          <w:rFonts w:hint="eastAsia"/>
          <w:b/>
          <w:bCs/>
          <w:sz w:val="36"/>
          <w:szCs w:val="36"/>
        </w:rPr>
        <w:drawing>
          <wp:inline distT="0" distB="0" distL="114300" distR="114300">
            <wp:extent cx="5727065" cy="6962140"/>
            <wp:effectExtent l="0" t="0" r="6985" b="10160"/>
            <wp:docPr id="1" name="图片 1" descr="微信截图_2020120818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01208181943"/>
                    <pic:cNvPicPr>
                      <a:picLocks noChangeAspect="1"/>
                    </pic:cNvPicPr>
                  </pic:nvPicPr>
                  <pic:blipFill>
                    <a:blip r:embed="rId10"/>
                    <a:stretch>
                      <a:fillRect/>
                    </a:stretch>
                  </pic:blipFill>
                  <pic:spPr>
                    <a:xfrm>
                      <a:off x="0" y="0"/>
                      <a:ext cx="5727065" cy="6962140"/>
                    </a:xfrm>
                    <a:prstGeom prst="rect">
                      <a:avLst/>
                    </a:prstGeom>
                    <a:noFill/>
                    <a:ln>
                      <a:noFill/>
                    </a:ln>
                  </pic:spPr>
                </pic:pic>
              </a:graphicData>
            </a:graphic>
          </wp:inline>
        </w:drawing>
      </w:r>
    </w:p>
    <w:p>
      <w:pPr>
        <w:snapToGrid w:val="0"/>
        <w:spacing w:line="380" w:lineRule="exact"/>
        <w:ind w:firstLine="570"/>
        <w:rPr>
          <w:rFonts w:hint="eastAsia"/>
          <w:b/>
          <w:bCs/>
          <w:sz w:val="36"/>
          <w:szCs w:val="36"/>
        </w:rPr>
        <w:sectPr>
          <w:pgSz w:w="11906" w:h="16838"/>
          <w:pgMar w:top="1474" w:right="1474" w:bottom="1701" w:left="1474" w:header="851" w:footer="1418" w:gutter="0"/>
          <w:cols w:space="425" w:num="1"/>
          <w:docGrid w:type="lines" w:linePitch="312" w:charSpace="0"/>
        </w:sectPr>
      </w:pPr>
    </w:p>
    <w:p>
      <w:pPr>
        <w:spacing w:line="400" w:lineRule="exact"/>
        <w:jc w:val="center"/>
        <w:rPr>
          <w:rFonts w:hint="eastAsia" w:ascii="宋体" w:hAnsi="宋体" w:cs="宋体"/>
          <w:b/>
          <w:sz w:val="36"/>
          <w:szCs w:val="36"/>
        </w:rPr>
      </w:pPr>
      <w:r>
        <w:rPr>
          <w:rFonts w:hint="eastAsia" w:ascii="宋体" w:hAnsi="宋体" w:cs="宋体"/>
          <w:b/>
          <w:sz w:val="36"/>
          <w:szCs w:val="36"/>
        </w:rPr>
        <w:t>附件</w:t>
      </w:r>
      <w:r>
        <w:rPr>
          <w:rFonts w:hint="eastAsia" w:ascii="宋体" w:hAnsi="宋体" w:cs="宋体"/>
          <w:b/>
          <w:sz w:val="36"/>
          <w:szCs w:val="36"/>
          <w:lang w:val="en-US" w:eastAsia="zh-CN"/>
        </w:rPr>
        <w:t>4</w:t>
      </w:r>
      <w:r>
        <w:rPr>
          <w:rFonts w:hint="eastAsia" w:ascii="宋体" w:hAnsi="宋体" w:cs="宋体"/>
          <w:b/>
          <w:sz w:val="36"/>
          <w:szCs w:val="36"/>
        </w:rPr>
        <w:t>：</w:t>
      </w:r>
      <w:r>
        <w:rPr>
          <w:rFonts w:hint="eastAsia" w:ascii="宋体" w:hAnsi="宋体" w:cs="宋体"/>
          <w:b/>
          <w:sz w:val="36"/>
          <w:szCs w:val="36"/>
          <w:lang w:eastAsia="zh-CN"/>
        </w:rPr>
        <w:t>上垟镇人民政府</w:t>
      </w:r>
      <w:r>
        <w:rPr>
          <w:rFonts w:hint="eastAsia" w:ascii="宋体" w:hAnsi="宋体" w:cs="宋体"/>
          <w:b/>
          <w:sz w:val="36"/>
          <w:szCs w:val="36"/>
        </w:rPr>
        <w:t>重大执法决定法制审核目录清单</w:t>
      </w:r>
    </w:p>
    <w:p>
      <w:pPr>
        <w:spacing w:line="400" w:lineRule="exact"/>
        <w:rPr>
          <w:rFonts w:ascii="仿宋" w:hAnsi="仿宋" w:eastAsia="仿宋"/>
          <w:sz w:val="32"/>
          <w:szCs w:val="32"/>
        </w:rPr>
      </w:pPr>
    </w:p>
    <w:tbl>
      <w:tblPr>
        <w:tblStyle w:val="4"/>
        <w:tblW w:w="10915" w:type="dxa"/>
        <w:tblInd w:w="-459" w:type="dxa"/>
        <w:tblLayout w:type="autofit"/>
        <w:tblCellMar>
          <w:top w:w="0" w:type="dxa"/>
          <w:left w:w="108" w:type="dxa"/>
          <w:bottom w:w="0" w:type="dxa"/>
          <w:right w:w="108" w:type="dxa"/>
        </w:tblCellMar>
      </w:tblPr>
      <w:tblGrid>
        <w:gridCol w:w="567"/>
        <w:gridCol w:w="851"/>
        <w:gridCol w:w="4536"/>
        <w:gridCol w:w="4961"/>
      </w:tblGrid>
      <w:tr>
        <w:tblPrEx>
          <w:tblCellMar>
            <w:top w:w="0" w:type="dxa"/>
            <w:left w:w="108" w:type="dxa"/>
            <w:bottom w:w="0" w:type="dxa"/>
            <w:right w:w="108" w:type="dxa"/>
          </w:tblCellMar>
        </w:tblPrEx>
        <w:trPr>
          <w:trHeight w:val="390" w:hRule="atLeast"/>
        </w:trPr>
        <w:tc>
          <w:tcPr>
            <w:tcW w:w="567" w:type="dxa"/>
            <w:vMerge w:val="restart"/>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851" w:type="dxa"/>
            <w:vMerge w:val="restart"/>
            <w:tcBorders>
              <w:top w:val="single" w:color="auto" w:sz="4" w:space="0"/>
              <w:left w:val="single" w:color="auto" w:sz="4" w:space="0"/>
              <w:bottom w:val="nil"/>
              <w:right w:val="nil"/>
            </w:tcBorders>
            <w:shd w:val="clear" w:color="auto" w:fill="auto"/>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事项名称</w:t>
            </w:r>
          </w:p>
        </w:tc>
        <w:tc>
          <w:tcPr>
            <w:tcW w:w="4536" w:type="dxa"/>
            <w:vMerge w:val="restart"/>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依据条款</w:t>
            </w:r>
          </w:p>
        </w:tc>
        <w:tc>
          <w:tcPr>
            <w:tcW w:w="4961" w:type="dxa"/>
            <w:vMerge w:val="restart"/>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列入审核</w:t>
            </w:r>
          </w:p>
        </w:tc>
      </w:tr>
      <w:tr>
        <w:tblPrEx>
          <w:tblCellMar>
            <w:top w:w="0" w:type="dxa"/>
            <w:left w:w="108" w:type="dxa"/>
            <w:bottom w:w="0" w:type="dxa"/>
            <w:right w:w="108" w:type="dxa"/>
          </w:tblCellMar>
        </w:tblPrEx>
        <w:trPr>
          <w:trHeight w:val="312" w:hRule="atLeast"/>
        </w:trPr>
        <w:tc>
          <w:tcPr>
            <w:tcW w:w="56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851" w:type="dxa"/>
            <w:vMerge w:val="continue"/>
            <w:tcBorders>
              <w:top w:val="single" w:color="auto" w:sz="4" w:space="0"/>
              <w:left w:val="single" w:color="auto" w:sz="4" w:space="0"/>
              <w:bottom w:val="nil"/>
              <w:right w:val="nil"/>
            </w:tcBorders>
            <w:noWrap w:val="0"/>
            <w:vAlign w:val="center"/>
          </w:tcPr>
          <w:p>
            <w:pPr>
              <w:widowControl/>
              <w:jc w:val="left"/>
              <w:rPr>
                <w:rFonts w:ascii="黑体" w:hAnsi="黑体" w:eastAsia="黑体" w:cs="宋体"/>
                <w:color w:val="000000"/>
                <w:kern w:val="0"/>
                <w:sz w:val="20"/>
                <w:szCs w:val="20"/>
              </w:rPr>
            </w:pPr>
          </w:p>
        </w:tc>
        <w:tc>
          <w:tcPr>
            <w:tcW w:w="453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496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黑体" w:hAnsi="黑体" w:eastAsia="黑体" w:cs="宋体"/>
                <w:color w:val="000000"/>
                <w:kern w:val="0"/>
                <w:sz w:val="20"/>
                <w:szCs w:val="20"/>
              </w:rPr>
            </w:pPr>
          </w:p>
        </w:tc>
      </w:tr>
      <w:tr>
        <w:tblPrEx>
          <w:tblCellMar>
            <w:top w:w="0" w:type="dxa"/>
            <w:left w:w="108" w:type="dxa"/>
            <w:bottom w:w="0" w:type="dxa"/>
            <w:right w:w="108" w:type="dxa"/>
          </w:tblCellMar>
        </w:tblPrEx>
        <w:trPr>
          <w:trHeight w:val="6135"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5"/>
                <w:szCs w:val="15"/>
              </w:rPr>
            </w:pPr>
            <w:r>
              <w:rPr>
                <w:rFonts w:ascii="仿宋_GB2312" w:hAnsi="仿宋_GB2312" w:cs="宋体"/>
                <w:color w:val="000000"/>
                <w:kern w:val="0"/>
                <w:sz w:val="15"/>
                <w:szCs w:val="15"/>
              </w:rPr>
              <w:t>1</w:t>
            </w:r>
          </w:p>
        </w:tc>
        <w:tc>
          <w:tcPr>
            <w:tcW w:w="851" w:type="dxa"/>
            <w:tcBorders>
              <w:top w:val="single" w:color="auto" w:sz="4" w:space="0"/>
              <w:left w:val="nil"/>
              <w:bottom w:val="single" w:color="auto" w:sz="4" w:space="0"/>
              <w:right w:val="nil"/>
            </w:tcBorders>
            <w:shd w:val="clear" w:color="auto" w:fill="auto"/>
            <w:noWrap w:val="0"/>
            <w:vAlign w:val="center"/>
          </w:tcPr>
          <w:p>
            <w:pPr>
              <w:widowControl/>
              <w:jc w:val="left"/>
              <w:rPr>
                <w:rFonts w:ascii="仿宋_GB2312" w:hAnsi="仿宋_GB2312" w:cs="宋体"/>
                <w:color w:val="000000"/>
                <w:kern w:val="0"/>
                <w:sz w:val="15"/>
                <w:szCs w:val="15"/>
              </w:rPr>
            </w:pPr>
            <w:r>
              <w:rPr>
                <w:rFonts w:ascii="仿宋_GB2312" w:hAnsi="仿宋_GB2312" w:cs="宋体"/>
                <w:color w:val="000000"/>
                <w:kern w:val="0"/>
                <w:sz w:val="15"/>
                <w:szCs w:val="15"/>
              </w:rPr>
              <w:t>对未依法取得乡村建设规划许可证或者未按照乡村建设规划许可证的规划进行建设的处罚</w:t>
            </w:r>
          </w:p>
        </w:tc>
        <w:tc>
          <w:tcPr>
            <w:tcW w:w="45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5"/>
                <w:szCs w:val="15"/>
              </w:rPr>
            </w:pPr>
            <w:r>
              <w:rPr>
                <w:rFonts w:ascii="仿宋_GB2312" w:hAnsi="仿宋_GB2312" w:cs="宋体"/>
                <w:color w:val="000000"/>
                <w:kern w:val="0"/>
                <w:sz w:val="15"/>
                <w:szCs w:val="15"/>
              </w:rPr>
              <w:t>《中华人民共和国城乡规划法》</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第六十五条 在乡、村庄规划区内未依法取得乡村建设规划许可证或者未按照乡村建设规划许可证的规定进行建设的，由乡、镇人民政府责令停止建设、限期改正；逾期不改正的，可以拆除。</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《中华人民共和国行政处罚法》  </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第三十一条　行政机关在作出行政处罚决定之前，应当告知当事人作出行政处罚决定的事实、理由及依据，并告知当事人依法享有的权利。</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第三十六条　除本法第三十三条规定的可以当场作出的行政处罚外，行政机关发现公民、法人或者其他组织有依法应当给予行政处罚的行为的，……　</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第三十七条　行政机关在调查或者进行检查时，执法人员不得少于两人，……</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第三十八条　调查终结，行政机关负责人应当对调查结果进行审查，根据不同情况，分别作出如下决定：……</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第四十四条　行政处罚决定依法作出后，当事人应当在行政处罚决定的期限内，予以履行。</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第五十一条　当事人逾期不履行行政处罚决定的，作出行政处罚决定的行政机关可以采取下列措施：……</w:t>
            </w:r>
          </w:p>
        </w:tc>
        <w:tc>
          <w:tcPr>
            <w:tcW w:w="4961"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5"/>
                <w:szCs w:val="15"/>
              </w:rPr>
            </w:pPr>
            <w:r>
              <w:rPr>
                <w:rFonts w:ascii="仿宋_GB2312" w:hAnsi="仿宋_GB2312" w:cs="宋体"/>
                <w:color w:val="000000"/>
                <w:kern w:val="0"/>
                <w:sz w:val="15"/>
                <w:szCs w:val="15"/>
              </w:rPr>
              <w:t xml:space="preserve">    1、立案环节责任：经实地初步核查，发现未依法取得乡村建设规划许可证或者未按照乡村建设规划许可证的规划进行建设的违法案件后，予以审查，决定是否立案。</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2、调查环节责任：乡、镇人民政府对立案的案件，指定专人负责，及时组织调查取证，与当事人有直接利害关系的应当回避。执法人员不得少于两人，调查时应出示执法证件，允许当事人辩解陈述，执法人员应保守有关秘密。</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3、审查环节责任：审理案件调查报告，对案件违法事实、证据、调查取证程序、法律适用、处罚种类和幅度、当事人陈述和申辩理由等方面进行审查，提出处理意见（主要证据不足时，以适当的方式补充调查）。</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4、告知环节责任：作出行政处罚决定前，应制作《行政处罚告知书》送达当事人，告知违法事实做出行政处罚决定的事实、理由、依据及申辩的权利及其享有的陈述、申辩等权利，符合听证规定的，制作并送达《行政处罚听证告知书》。</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5、决定环节责任：制作《行政处罚决定书》，载明行政处罚告知、当事人陈述、申辩或者听证情况等内容。</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6、送达环节责任：行政处罚决定书应在7日内送达当事人。</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7、执行环节责任：依照生效的行政处罚决定，监督当事人履行。当事人逾期不履行行政处罚决定的，可以采取加处罚款或申请人民法院强制执行的措施。</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8、其他法律、法规、规章、文件规定应履行的责任。</w:t>
            </w:r>
          </w:p>
        </w:tc>
      </w:tr>
      <w:tr>
        <w:tblPrEx>
          <w:tblCellMar>
            <w:top w:w="0" w:type="dxa"/>
            <w:left w:w="108" w:type="dxa"/>
            <w:bottom w:w="0" w:type="dxa"/>
            <w:right w:w="108" w:type="dxa"/>
          </w:tblCellMar>
        </w:tblPrEx>
        <w:trPr>
          <w:trHeight w:val="5595"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2</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对个体工商户未按规划审批程序批准而占用经营场所的处罚</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6"/>
                <w:szCs w:val="16"/>
              </w:rPr>
            </w:pP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《中华人民共和国行政处罚法》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第三十一条　行政机关在作出行政处罚决定之前，应当告知当事人作出行政处罚决定的事实、理由及依据，并告知当事人依法享有的权利。</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第三十六条　除本法第三十三条规定的可以当场作出的行政处罚外，行政机关发现公民、法人或者其他组织有依法应当给予行政处罚的行为的，……　第三十七条　行政机关在调查或者进行检查时，执法人员不得少于两人，……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第三十八条　调查终结，行政机关负责人应当对调查结果进行审查，根据不同情况，分别作出如下决定：……</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第四十条　行政处罚决定书应当在宣告后当场交付当事人；……</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第四十四条　行政处罚决定依法作出后，当事人应当在行政处罚决定的期限内，予以履行。</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第五十一条　当事人逾期不履行行政处罚决定的，作出行政处罚决定的行政机关可以采取下列措施……</w:t>
            </w:r>
          </w:p>
        </w:tc>
        <w:tc>
          <w:tcPr>
            <w:tcW w:w="49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6"/>
                <w:szCs w:val="16"/>
              </w:rPr>
            </w:pPr>
            <w:r>
              <w:rPr>
                <w:rFonts w:ascii="仿宋_GB2312" w:hAnsi="仿宋_GB2312" w:cs="宋体"/>
                <w:color w:val="000000"/>
                <w:kern w:val="0"/>
                <w:sz w:val="16"/>
                <w:szCs w:val="16"/>
              </w:rPr>
              <w:t xml:space="preserve">    1、立案环节责任：发现个体工商户未按规划审批程序批准而占用经营场所的违法案件后，经实地初核，决定是否立案。</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2、调查环节责任：乡、镇人民政府对立案的案件，指定专人负责调查、取证，执法人员不得少于两人，调查时出示执法证件，允许当事人辩解陈述，保守有关秘密。</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3、审查环节责任：乡、镇人民政府对案件违法事实、证据、调查取证程序等方面进行审查，提出处理意见。</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4、告知环节责任：乡、镇人民政府在做出行政处罚决定前，应当告知当事人违法事实及其享有的陈述、申辩、要求听证等权利；</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5、决定环节责任：根据审理情况决定是否予以行政处罚。依法需要给予行政处罚的，应制作行政处罚决定书，载明违法事实和证据、处罚依据和内容、申请行政复议或提起行政诉讼的途径和期限等内容。</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6、送达环节责任：行政处罚决定书应在7日内送达当事人。</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7、执行环节责任：依照生效的行政处罚决定，监督当事人履行。当事人逾期不履行行政处罚决定的，可以采取加处罚款或申请人民法院强制执行的措施。</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8、其他法律、法规、规章、文件规定应履行的责任。</w:t>
            </w:r>
          </w:p>
        </w:tc>
      </w:tr>
      <w:tr>
        <w:tblPrEx>
          <w:tblCellMar>
            <w:top w:w="0" w:type="dxa"/>
            <w:left w:w="108" w:type="dxa"/>
            <w:bottom w:w="0" w:type="dxa"/>
            <w:right w:w="108" w:type="dxa"/>
          </w:tblCellMar>
        </w:tblPrEx>
        <w:trPr>
          <w:trHeight w:val="3316"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3</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制止、铲除非法种植毒品原植物</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6"/>
                <w:szCs w:val="16"/>
              </w:rPr>
            </w:pPr>
            <w:r>
              <w:rPr>
                <w:rFonts w:ascii="仿宋_GB2312" w:hAnsi="仿宋_GB2312" w:cs="宋体"/>
                <w:color w:val="000000"/>
                <w:kern w:val="0"/>
                <w:sz w:val="16"/>
                <w:szCs w:val="16"/>
              </w:rPr>
              <w:t xml:space="preserve">《中华人民共和国禁毒法》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第十九条第二款 地方各级人民政府发现非法种植毒品原植物的，应当立即采取措施予以制止、铲除。村民委员会、居民委员会发现非法种植毒品原植物的，应当及时予以制止、铲除，并向当地公安机关报告。</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《中华人民共和国行政强制法》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第十八条 行政机关实施行政强制措施应当遵守下列规定：（一）实施前须向行政机关负责人报告并经批准；（二）由两名以上行政执法人员实施；（三）出示执法身份证件;（四）通知当事人到场；（五）当场告知当事人采取行政强制措施的理由、依据以及当事人依法享有的权利、救济途径；（八）现场笔录由当事人和行政执法人员签名或者盖章，当事人拒绝的，在笔录中予以注明；（九）当事人不到场的，邀请见证人到场，由见证人和行政执法人员在现场笔录上签名或者盖章；（十）法律、法规规定的其他程序。</w:t>
            </w:r>
          </w:p>
        </w:tc>
        <w:tc>
          <w:tcPr>
            <w:tcW w:w="49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6"/>
                <w:szCs w:val="16"/>
              </w:rPr>
            </w:pPr>
            <w:r>
              <w:rPr>
                <w:rFonts w:ascii="仿宋_GB2312" w:hAnsi="仿宋_GB2312" w:cs="宋体"/>
                <w:color w:val="000000"/>
                <w:kern w:val="0"/>
                <w:sz w:val="16"/>
                <w:szCs w:val="16"/>
              </w:rPr>
              <w:t xml:space="preserve">    1、批准环节责任：实施前须向行政机关负责人报告并经批准；情况紧急，需要当场实施行政强制措施的，行政执法人员应当在二十四小时内向行政机关负责人报告，并补办批准手续。</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2、决定环节责任：在决定前要充分听取当事人的陈述和申辩，告知当事人采取行政强制措施的理由、依据。</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3、执行环节责任：由两名以上行政执法人员实施，要制作现场笔录，并由当事人签名或者盖章。</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4、法律法规规章文件规定的应履行的其它责任。</w:t>
            </w:r>
          </w:p>
        </w:tc>
      </w:tr>
      <w:tr>
        <w:tblPrEx>
          <w:tblCellMar>
            <w:top w:w="0" w:type="dxa"/>
            <w:left w:w="108" w:type="dxa"/>
            <w:bottom w:w="0" w:type="dxa"/>
            <w:right w:w="108" w:type="dxa"/>
          </w:tblCellMar>
        </w:tblPrEx>
        <w:trPr>
          <w:trHeight w:val="6511"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4</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对未依法取得乡村建设规划许可证或者未按照乡村规划建设许可证的规定进行建设的逾期不改正的违法建筑的强制拆除</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6"/>
                <w:szCs w:val="16"/>
              </w:rPr>
            </w:pPr>
            <w:r>
              <w:rPr>
                <w:rFonts w:ascii="仿宋_GB2312" w:hAnsi="仿宋_GB2312" w:cs="宋体"/>
                <w:color w:val="000000"/>
                <w:kern w:val="0"/>
                <w:sz w:val="16"/>
                <w:szCs w:val="16"/>
              </w:rPr>
              <w:t>1、催告：《行政强制法》第三十五条　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2、决定：《行政强制法》第三十六条　当事人收到催告书后有权进行陈述和申辩。行政机关应当充分听取当事人的意见，对当事人提出的事实、理由和证据，应当进行记录、复核。当事人提出的事实、理由或者证据成立的，行政机关应当采纳。</w:t>
            </w:r>
            <w:r>
              <w:rPr>
                <w:rFonts w:ascii="仿宋_GB2312" w:hAnsi="仿宋_GB2312" w:cs="宋体"/>
                <w:color w:val="000000"/>
                <w:kern w:val="0"/>
                <w:sz w:val="16"/>
                <w:szCs w:val="16"/>
              </w:rPr>
              <w:br w:type="textWrapping"/>
            </w:r>
            <w:r>
              <w:rPr>
                <w:rFonts w:ascii="Arial" w:hAnsi="Arial" w:cs="Arial"/>
                <w:color w:val="000000"/>
                <w:kern w:val="0"/>
                <w:sz w:val="16"/>
                <w:szCs w:val="16"/>
              </w:rPr>
              <w:t>    </w:t>
            </w:r>
            <w:r>
              <w:rPr>
                <w:rFonts w:ascii="仿宋_GB2312" w:hAnsi="仿宋_GB2312" w:cs="宋体"/>
                <w:color w:val="000000"/>
                <w:kern w:val="0"/>
                <w:sz w:val="16"/>
                <w:szCs w:val="16"/>
              </w:rPr>
              <w:t>第三十七条　经催告，当事人逾期仍不履行行政决定，且无正当理由的，行政机关可以作出强制执行决定。</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3、送达：《行政强制法》第三十八条　催告书、行政强制执行决定书应当直接送达当事人。当事人拒绝接收或者无法直接送达当事人的，应当依照《中华人民共和国民事诉讼法》的有关规定送达。</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4、执行：第四十二条　实施行政强制执行，行政机关可以在不损害公共利益和他人合法权益的情况下，与当事人达成执行协议。执行协议可以约定分阶段履行；当事人采取补救措施的，可以减免加处的罚款或者滞纳金。</w:t>
            </w:r>
            <w:r>
              <w:rPr>
                <w:rFonts w:ascii="Arial" w:hAnsi="Arial" w:cs="Arial"/>
                <w:color w:val="000000"/>
                <w:kern w:val="0"/>
                <w:sz w:val="16"/>
                <w:szCs w:val="16"/>
              </w:rPr>
              <w:t> </w:t>
            </w:r>
            <w:r>
              <w:rPr>
                <w:rFonts w:ascii="仿宋_GB2312" w:hAnsi="仿宋_GB2312" w:cs="宋体"/>
                <w:color w:val="000000"/>
                <w:kern w:val="0"/>
                <w:sz w:val="16"/>
                <w:szCs w:val="16"/>
              </w:rPr>
              <w:t>执行协议应当履行。当事人不履行执行协议的，行政机关应当恢复强制执行。</w:t>
            </w:r>
          </w:p>
        </w:tc>
        <w:tc>
          <w:tcPr>
            <w:tcW w:w="49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6"/>
                <w:szCs w:val="16"/>
              </w:rPr>
            </w:pPr>
            <w:r>
              <w:rPr>
                <w:rFonts w:ascii="仿宋_GB2312" w:hAnsi="仿宋_GB2312" w:cs="宋体"/>
                <w:color w:val="000000"/>
                <w:kern w:val="0"/>
                <w:sz w:val="16"/>
                <w:szCs w:val="16"/>
              </w:rPr>
              <w:t>1、催告：予以公告并责令限期拆除，告知拆除期限、方式和依法享有的陈述权和申辩权。</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2、决定：经催告，当事人逾期仍不履行行政决定，且无正当理由的，行政机关可以作出强制执行决定，当事人陈诉或申辩的事实、理由或者证据成立的，行政机关应当采纳。</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3、送达：送达行政强制执行决定书。当事人拒绝接收或者无法直接送达当事人的，按有关规定送达。</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4、执行：在不损害公共利益和他人合法权益的情况下，与当事人达成执行协议。当事人不履行执行协议的，强制拆除。</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5、事后监管：现场检查停止建设以及改正情况。</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6、其他法律法规政策规定应履行的责任。</w:t>
            </w:r>
          </w:p>
        </w:tc>
      </w:tr>
      <w:tr>
        <w:tblPrEx>
          <w:tblCellMar>
            <w:top w:w="0" w:type="dxa"/>
            <w:left w:w="108" w:type="dxa"/>
            <w:bottom w:w="0" w:type="dxa"/>
            <w:right w:w="108" w:type="dxa"/>
          </w:tblCellMar>
        </w:tblPrEx>
        <w:trPr>
          <w:trHeight w:val="2826"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5</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对村民委员会村务公开情况调查核实</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《中华人民共和国村民委员会组织法》</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第五条　乡、民族乡、镇的人民政府对村民委员会的工作给予指导、支持和帮助，但是不得干预依法属于村民自治范围内的事项。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第三十一条 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c>
          <w:tcPr>
            <w:tcW w:w="496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1、受理环节责任：对村民反映的问题及时受理。</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2、调查环节责任：对村民反映的问题要实地调查核实。</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3、决定环节责任：调查无问题的要说明情况，调查有问题的要责令其依法公布。</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4、监督环节责任：监督村民委员会按时公开村务情况。</w:t>
            </w:r>
          </w:p>
        </w:tc>
      </w:tr>
      <w:tr>
        <w:tblPrEx>
          <w:tblCellMar>
            <w:top w:w="0" w:type="dxa"/>
            <w:left w:w="108" w:type="dxa"/>
            <w:bottom w:w="0" w:type="dxa"/>
            <w:right w:w="108" w:type="dxa"/>
          </w:tblCellMar>
        </w:tblPrEx>
        <w:trPr>
          <w:trHeight w:val="6369"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6</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村委会换届工作指导</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widowControl/>
              <w:ind w:firstLine="320" w:firstLineChars="200"/>
              <w:jc w:val="left"/>
              <w:rPr>
                <w:rFonts w:ascii="仿宋_GB2312" w:hAnsi="仿宋_GB2312" w:cs="宋体"/>
                <w:color w:val="000000"/>
                <w:kern w:val="0"/>
                <w:sz w:val="16"/>
                <w:szCs w:val="16"/>
              </w:rPr>
            </w:pPr>
            <w:r>
              <w:rPr>
                <w:rFonts w:ascii="仿宋_GB2312" w:hAnsi="仿宋_GB2312" w:cs="宋体"/>
                <w:color w:val="000000"/>
                <w:kern w:val="0"/>
                <w:sz w:val="16"/>
                <w:szCs w:val="16"/>
              </w:rPr>
              <w:t>1、成立组织机构责任依据：《村民委员会选举办法》第十条　村民委员会换届选举期间，县（市、区）和乡（镇）应当成立村民委员会换届选举工作领导组。</w:t>
            </w:r>
            <w:r>
              <w:rPr>
                <w:rFonts w:ascii="仿宋_GB2312" w:hAnsi="仿宋_GB2312" w:cs="宋体"/>
                <w:color w:val="000000"/>
                <w:kern w:val="0"/>
                <w:sz w:val="16"/>
                <w:szCs w:val="16"/>
              </w:rPr>
              <w:br w:type="textWrapping"/>
            </w:r>
            <w:r>
              <w:rPr>
                <w:rFonts w:hint="eastAsia" w:ascii="仿宋_GB2312" w:hAnsi="仿宋_GB2312" w:cs="宋体"/>
                <w:color w:val="000000"/>
                <w:kern w:val="0"/>
                <w:sz w:val="16"/>
                <w:szCs w:val="16"/>
              </w:rPr>
              <w:t xml:space="preserve">    </w:t>
            </w:r>
            <w:r>
              <w:rPr>
                <w:rFonts w:ascii="仿宋_GB2312" w:hAnsi="仿宋_GB2312" w:cs="宋体"/>
                <w:color w:val="000000"/>
                <w:kern w:val="0"/>
                <w:sz w:val="16"/>
                <w:szCs w:val="16"/>
              </w:rPr>
              <w:t>2、选举指导责任依据：《村民委员会选举办法》第十条</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村民委员会换届选举工作领导组的主要职责是:</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（一）宣传有关法律、法规；</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（二）制定选举工作方案；</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（三）组织培训选举工作人员；</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（四）组织、指导选举工作；</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（六）办理有关选举工作的其他事项。</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第三十四条　选票由乡(镇)人民政府统一印制，加盖村民选举委员会印章或者由村民委员会代章。</w:t>
            </w:r>
            <w:r>
              <w:rPr>
                <w:rFonts w:ascii="仿宋_GB2312" w:hAnsi="仿宋_GB2312" w:cs="宋体"/>
                <w:color w:val="000000"/>
                <w:kern w:val="0"/>
                <w:sz w:val="16"/>
                <w:szCs w:val="16"/>
              </w:rPr>
              <w:br w:type="textWrapping"/>
            </w:r>
            <w:r>
              <w:rPr>
                <w:rFonts w:hint="eastAsia" w:ascii="仿宋_GB2312" w:hAnsi="仿宋_GB2312" w:cs="宋体"/>
                <w:color w:val="000000"/>
                <w:kern w:val="0"/>
                <w:sz w:val="16"/>
                <w:szCs w:val="16"/>
              </w:rPr>
              <w:t xml:space="preserve">    </w:t>
            </w:r>
            <w:r>
              <w:rPr>
                <w:rFonts w:ascii="仿宋_GB2312" w:hAnsi="仿宋_GB2312" w:cs="宋体"/>
                <w:color w:val="000000"/>
                <w:kern w:val="0"/>
                <w:sz w:val="16"/>
                <w:szCs w:val="16"/>
              </w:rPr>
              <w:t>3、选举结果备案责任依据：《村民委员会选举办法》第四十条　选举结束时，村民选举委员会应当封存选票，建立包括封存的选票、选民名单和选举结果报告单等选举资料在内的选举档案，交村民委员会保存，并将选举结果报告单副本报乡(镇)人民政府和县(市、区)人民政府民政部门备案。</w:t>
            </w:r>
            <w:r>
              <w:rPr>
                <w:rFonts w:ascii="仿宋_GB2312" w:hAnsi="仿宋_GB2312" w:cs="宋体"/>
                <w:color w:val="000000"/>
                <w:kern w:val="0"/>
                <w:sz w:val="16"/>
                <w:szCs w:val="16"/>
              </w:rPr>
              <w:br w:type="textWrapping"/>
            </w:r>
            <w:r>
              <w:rPr>
                <w:rFonts w:hint="eastAsia" w:ascii="仿宋_GB2312" w:hAnsi="仿宋_GB2312" w:cs="宋体"/>
                <w:color w:val="000000"/>
                <w:kern w:val="0"/>
                <w:sz w:val="16"/>
                <w:szCs w:val="16"/>
              </w:rPr>
              <w:t xml:space="preserve">    </w:t>
            </w:r>
            <w:r>
              <w:rPr>
                <w:rFonts w:ascii="仿宋_GB2312" w:hAnsi="仿宋_GB2312" w:cs="宋体"/>
                <w:color w:val="000000"/>
                <w:kern w:val="0"/>
                <w:sz w:val="16"/>
                <w:szCs w:val="16"/>
              </w:rPr>
              <w:t>4、监督移交依据：《村民委员会选举办法》 第四十四条　村民委员会应当在新一届村民委员会产生之日起十日内移交村民委员会印章、办公场所、办公设施和设备、集体财务、账目、固定资产、工作档案、债权债务等。工作移交由村民选举委员会主持，乡(镇)人民政府监督。</w:t>
            </w:r>
            <w:r>
              <w:rPr>
                <w:rFonts w:ascii="仿宋_GB2312" w:hAnsi="仿宋_GB2312" w:cs="宋体"/>
                <w:color w:val="000000"/>
                <w:kern w:val="0"/>
                <w:sz w:val="16"/>
                <w:szCs w:val="16"/>
              </w:rPr>
              <w:br w:type="textWrapping"/>
            </w:r>
            <w:r>
              <w:rPr>
                <w:rFonts w:hint="eastAsia" w:ascii="仿宋_GB2312" w:hAnsi="仿宋_GB2312" w:cs="宋体"/>
                <w:color w:val="000000"/>
                <w:kern w:val="0"/>
                <w:sz w:val="16"/>
                <w:szCs w:val="16"/>
              </w:rPr>
              <w:t xml:space="preserve">    </w:t>
            </w:r>
            <w:r>
              <w:rPr>
                <w:rFonts w:ascii="仿宋_GB2312" w:hAnsi="仿宋_GB2312" w:cs="宋体"/>
                <w:color w:val="000000"/>
                <w:kern w:val="0"/>
                <w:sz w:val="16"/>
                <w:szCs w:val="16"/>
              </w:rPr>
              <w:t>未能在新一届村民委员会产生之日起十日内进行移交的，乡(镇)人民政府应当督促并组织移交。</w:t>
            </w:r>
          </w:p>
        </w:tc>
        <w:tc>
          <w:tcPr>
            <w:tcW w:w="4961" w:type="dxa"/>
            <w:tcBorders>
              <w:top w:val="nil"/>
              <w:left w:val="nil"/>
              <w:bottom w:val="single" w:color="auto" w:sz="4" w:space="0"/>
              <w:right w:val="single" w:color="auto" w:sz="4" w:space="0"/>
            </w:tcBorders>
            <w:shd w:val="clear" w:color="auto" w:fill="auto"/>
            <w:noWrap w:val="0"/>
            <w:vAlign w:val="center"/>
          </w:tcPr>
          <w:p>
            <w:pPr>
              <w:widowControl/>
              <w:ind w:left="420" w:leftChars="200"/>
              <w:jc w:val="left"/>
              <w:rPr>
                <w:rFonts w:ascii="仿宋_GB2312" w:hAnsi="仿宋_GB2312" w:cs="宋体"/>
                <w:color w:val="000000"/>
                <w:kern w:val="0"/>
                <w:sz w:val="16"/>
                <w:szCs w:val="16"/>
              </w:rPr>
            </w:pPr>
            <w:r>
              <w:rPr>
                <w:rFonts w:ascii="仿宋_GB2312" w:hAnsi="仿宋_GB2312" w:cs="宋体"/>
                <w:color w:val="000000"/>
                <w:kern w:val="0"/>
                <w:sz w:val="16"/>
                <w:szCs w:val="16"/>
              </w:rPr>
              <w:t>1、成立组织机构责任：成立村民委员会换届选举工作领导组。</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2、选举指导责任：宣传、制定方案、组织培训、印制选票；</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3、选举结果备案责任：备案村民委员会选举上交相关资料；</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4、督促移交责任：督促村民委员会移交工作。</w:t>
            </w:r>
          </w:p>
        </w:tc>
      </w:tr>
      <w:tr>
        <w:tblPrEx>
          <w:tblCellMar>
            <w:top w:w="0" w:type="dxa"/>
            <w:left w:w="108" w:type="dxa"/>
            <w:bottom w:w="0" w:type="dxa"/>
            <w:right w:w="108" w:type="dxa"/>
          </w:tblCellMar>
        </w:tblPrEx>
        <w:trPr>
          <w:trHeight w:val="5519"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7</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在村庄、集镇规划区内的街道、广场、市场和车站等场所修建临时建构筑物和其他设施批准</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《中华人民共和国行政许可法》</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第三十二条 行政机关对申请人提出的行政许可申请，应当根据下列情况分别作出处理：……</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第三十四条 行政机关应当对申请人提交的申请材料进行审查。</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申请人提交的申请材料齐全、符合法定形式，行政机关能够当场作出决定的，应当当场作出书面的行政许可决定。</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第三十六条 行政机关对行政许可申请进行审查时，发现行政许可事项直接关系他人重大利益的，应当告知该利害关系人。申请人、利害关系人有权进行陈述和申辩。行政机关应当听取申请人、利害关系人的意见。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第三十七条 行政机关对行政许可申请进行审查后，除当场作出行政许可决定的外，应当在法定期限内按照规定程序作出行政许可决定。</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第三十八条 申请人的申请符合法定条件、标准的，行政机关应当依法作出准予行政许可的书面决定。</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第六十一条 行政机关应当建立健全监督制度，通过核查反映被许可人从事行政许可事项活动情况的有关材料，履行监督责任。</w:t>
            </w:r>
          </w:p>
        </w:tc>
        <w:tc>
          <w:tcPr>
            <w:tcW w:w="496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1、受理环节责任：申请事项属于本行政机关职权范围，向行政机关提出申请，以书面材料上报、符合法定形式，或者申请人按照本行政机关的要求提交全部补正申请材料的，应当受理行政许可申请。</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2、审查环节责任：对申请单位或个人提交的申请材料，根据法定条件和程序需要对申请材料实质内容进行核实的，应当指派两名以上工作人员对申请材料的实质内容进行核查，同时征求利害关系人意见。</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3、决定环节责任：对申请符合规定的，可以当场作出行政许可决定，不予行政许可的书面决定的，应当说明理由并告知申请人享有依法申请行政复议或提起行政诉讼的权利。</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4、 送达环节责任：将决定书送达申请人，同时在公众场合或行政网站上公示。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5、事后监督责任：加强在村庄、集镇规划区内的街道、广场、市场和车站等场所修建临时建构筑物和其他设施事后监管并将审批表报县相关部门备案。</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6、其他法律法规规章文件规定应履行的责任。</w:t>
            </w:r>
          </w:p>
        </w:tc>
      </w:tr>
      <w:tr>
        <w:tblPrEx>
          <w:tblCellMar>
            <w:top w:w="0" w:type="dxa"/>
            <w:left w:w="108" w:type="dxa"/>
            <w:bottom w:w="0" w:type="dxa"/>
            <w:right w:w="108" w:type="dxa"/>
          </w:tblCellMar>
        </w:tblPrEx>
        <w:trPr>
          <w:trHeight w:val="2940"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8</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村庄、集镇内的各项建设开工前现场放样、验线</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《村庄和集镇规划建设管理实施办法》</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第十七条 村庄、集镇内的各项建设，须按照下列规定办理开工建设手续：</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一）生产经营、公共设施、公益事业等建设，持规划选址意见书、用地批准文件和设计图纸到县级人民政府建设行政主管部门办理建设许可证后，由乡级人民政府主管建设的人员到现场放样、验线，方可开工建设。</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（二）住宅建设，由建房单位和个人提出开工申请，经乡级人民政府核查规划选址意见书、用地批准文件和设计图纸，发给建设许可证，派管理建设的人员到现场放样，验线后，方可开工建设。</w:t>
            </w:r>
          </w:p>
        </w:tc>
        <w:tc>
          <w:tcPr>
            <w:tcW w:w="496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1、受理环节责任：一次性告知补正材料，依法受理或不予受理（不予受理的书面告知理由）。</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2、执行环节责任：按照规划选址意见书、用地批准文件和设计图纸，派管理建设的人员到现场放样、验线。</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3、其他法律法规规章文件规定应履行的责任。</w:t>
            </w:r>
          </w:p>
        </w:tc>
      </w:tr>
    </w:tbl>
    <w:p>
      <w:pPr>
        <w:spacing w:line="400" w:lineRule="exact"/>
        <w:rPr>
          <w:rFonts w:hint="eastAsia" w:ascii="仿宋" w:hAnsi="仿宋" w:eastAsia="仿宋"/>
          <w:sz w:val="32"/>
          <w:szCs w:val="32"/>
        </w:rPr>
      </w:pPr>
    </w:p>
    <w:p>
      <w:pPr>
        <w:snapToGrid w:val="0"/>
        <w:spacing w:line="380" w:lineRule="exact"/>
        <w:rPr>
          <w:rFonts w:hint="eastAsia"/>
          <w:b/>
          <w:bCs/>
          <w:sz w:val="36"/>
          <w:szCs w:val="36"/>
        </w:rPr>
        <w:sectPr>
          <w:pgSz w:w="11906" w:h="16838"/>
          <w:pgMar w:top="1474" w:right="1474" w:bottom="1701" w:left="1474" w:header="851" w:footer="1418" w:gutter="0"/>
          <w:cols w:space="425" w:num="1"/>
          <w:docGrid w:type="lines" w:linePitch="312" w:charSpace="0"/>
        </w:sectPr>
      </w:pPr>
    </w:p>
    <w:tbl>
      <w:tblPr>
        <w:tblStyle w:val="4"/>
        <w:tblW w:w="14520" w:type="dxa"/>
        <w:tblInd w:w="0" w:type="dxa"/>
        <w:tblLayout w:type="autofit"/>
        <w:tblCellMar>
          <w:top w:w="0" w:type="dxa"/>
          <w:left w:w="0" w:type="dxa"/>
          <w:bottom w:w="0" w:type="dxa"/>
          <w:right w:w="0" w:type="dxa"/>
        </w:tblCellMar>
      </w:tblPr>
      <w:tblGrid>
        <w:gridCol w:w="829"/>
        <w:gridCol w:w="1609"/>
        <w:gridCol w:w="1804"/>
        <w:gridCol w:w="1999"/>
        <w:gridCol w:w="2389"/>
        <w:gridCol w:w="4439"/>
        <w:gridCol w:w="1451"/>
      </w:tblGrid>
      <w:tr>
        <w:tblPrEx>
          <w:tblCellMar>
            <w:top w:w="0" w:type="dxa"/>
            <w:left w:w="0" w:type="dxa"/>
            <w:bottom w:w="0" w:type="dxa"/>
            <w:right w:w="0" w:type="dxa"/>
          </w:tblCellMar>
        </w:tblPrEx>
        <w:trPr>
          <w:trHeight w:val="660" w:hRule="atLeast"/>
        </w:trPr>
        <w:tc>
          <w:tcPr>
            <w:tcW w:w="14520" w:type="dxa"/>
            <w:gridSpan w:val="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lang w:bidi="ar"/>
              </w:rPr>
              <w:t>附件</w:t>
            </w:r>
            <w:r>
              <w:rPr>
                <w:rFonts w:hint="eastAsia" w:ascii="黑体" w:hAnsi="宋体" w:eastAsia="黑体" w:cs="黑体"/>
                <w:color w:val="000000"/>
                <w:kern w:val="0"/>
                <w:sz w:val="40"/>
                <w:szCs w:val="40"/>
                <w:lang w:val="en-US" w:eastAsia="zh-CN" w:bidi="ar"/>
              </w:rPr>
              <w:t>5</w:t>
            </w:r>
            <w:r>
              <w:rPr>
                <w:rFonts w:hint="eastAsia" w:ascii="黑体" w:hAnsi="宋体" w:eastAsia="黑体" w:cs="黑体"/>
                <w:color w:val="000000"/>
                <w:kern w:val="0"/>
                <w:sz w:val="40"/>
                <w:szCs w:val="40"/>
                <w:lang w:bidi="ar"/>
              </w:rPr>
              <w:t>：执法全过程音像记录事项清单</w:t>
            </w:r>
          </w:p>
        </w:tc>
      </w:tr>
      <w:tr>
        <w:tblPrEx>
          <w:tblCellMar>
            <w:top w:w="0" w:type="dxa"/>
            <w:left w:w="0" w:type="dxa"/>
            <w:bottom w:w="0" w:type="dxa"/>
            <w:right w:w="0" w:type="dxa"/>
          </w:tblCellMar>
        </w:tblPrEx>
        <w:trPr>
          <w:trHeight w:val="480" w:hRule="atLeast"/>
        </w:trPr>
        <w:tc>
          <w:tcPr>
            <w:tcW w:w="0" w:type="auto"/>
            <w:gridSpan w:val="7"/>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cs="宋体"/>
                <w:b/>
                <w:color w:val="000000"/>
                <w:sz w:val="24"/>
              </w:rPr>
            </w:pPr>
            <w:r>
              <w:rPr>
                <w:rFonts w:hint="eastAsia" w:ascii="宋体" w:hAnsi="宋体" w:cs="宋体"/>
                <w:b/>
                <w:color w:val="000000"/>
                <w:kern w:val="0"/>
                <w:sz w:val="24"/>
                <w:lang w:bidi="ar"/>
              </w:rPr>
              <w:t xml:space="preserve">填表单位： 龙泉市上垟镇人民政府              </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序号</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执法类别</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 记录事项</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 记录场所</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记录设备名称</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记录具体内容</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备注</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hint="eastAsia" w:ascii="宋体" w:hAnsi="宋体" w:cs="宋体"/>
                <w:b/>
                <w:color w:val="000000"/>
                <w:sz w:val="22"/>
                <w:szCs w:val="22"/>
              </w:rPr>
            </w:pPr>
            <w:r>
              <w:rPr>
                <w:rFonts w:hint="eastAsia" w:ascii="宋体" w:hAnsi="宋体" w:cs="宋体"/>
                <w:b/>
                <w:color w:val="000000"/>
                <w:kern w:val="0"/>
                <w:sz w:val="22"/>
                <w:szCs w:val="22"/>
                <w:lang w:bidi="ar"/>
              </w:rPr>
              <w:t>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499" w:hRule="atLeast"/>
        </w:trPr>
        <w:tc>
          <w:tcPr>
            <w:tcW w:w="0" w:type="auto"/>
            <w:tcBorders>
              <w:top w:val="nil"/>
              <w:left w:val="nil"/>
              <w:bottom w:val="nil"/>
              <w:right w:val="nil"/>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cs="宋体"/>
                <w:color w:val="000000"/>
                <w:sz w:val="22"/>
                <w:szCs w:val="22"/>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cs="宋体"/>
                <w:color w:val="000000"/>
                <w:sz w:val="22"/>
                <w:szCs w:val="22"/>
              </w:rPr>
            </w:pPr>
          </w:p>
        </w:tc>
        <w:tc>
          <w:tcPr>
            <w:tcW w:w="1281" w:type="dxa"/>
            <w:tcBorders>
              <w:top w:val="nil"/>
              <w:left w:val="nil"/>
              <w:bottom w:val="nil"/>
              <w:right w:val="nil"/>
            </w:tcBorders>
            <w:noWrap w:val="0"/>
            <w:tcMar>
              <w:top w:w="15" w:type="dxa"/>
              <w:left w:w="15" w:type="dxa"/>
              <w:right w:w="15" w:type="dxa"/>
            </w:tcMar>
            <w:vAlign w:val="center"/>
          </w:tcPr>
          <w:p>
            <w:pPr>
              <w:jc w:val="cente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480"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已配备音像记录设备清单</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设备名称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件数（件）</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2020年度使用次数（次）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宋体" w:hAnsi="宋体" w:cs="宋体"/>
                <w:b/>
                <w:color w:val="000000"/>
                <w:sz w:val="24"/>
              </w:rPr>
            </w:pPr>
            <w:r>
              <w:rPr>
                <w:rFonts w:hint="eastAsia" w:ascii="宋体" w:hAnsi="宋体" w:cs="宋体"/>
                <w:b/>
                <w:color w:val="000000"/>
                <w:kern w:val="0"/>
                <w:sz w:val="24"/>
                <w:lang w:bidi="ar"/>
              </w:rPr>
              <w:t>备注</w:t>
            </w:r>
          </w:p>
        </w:tc>
      </w:tr>
      <w:tr>
        <w:tblPrEx>
          <w:tblCellMar>
            <w:top w:w="0" w:type="dxa"/>
            <w:left w:w="0" w:type="dxa"/>
            <w:bottom w:w="0" w:type="dxa"/>
            <w:right w:w="0" w:type="dxa"/>
          </w:tblCellMar>
        </w:tblPrEx>
        <w:trPr>
          <w:trHeight w:val="480"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执法记录仪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 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b/>
                <w:color w:val="000000"/>
                <w:sz w:val="24"/>
              </w:rPr>
            </w:pPr>
          </w:p>
        </w:tc>
      </w:tr>
      <w:tr>
        <w:tblPrEx>
          <w:tblCellMar>
            <w:top w:w="0" w:type="dxa"/>
            <w:left w:w="0" w:type="dxa"/>
            <w:bottom w:w="0" w:type="dxa"/>
            <w:right w:w="0" w:type="dxa"/>
          </w:tblCellMar>
        </w:tblPrEx>
        <w:trPr>
          <w:trHeight w:val="480"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照相机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 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b/>
                <w:color w:val="000000"/>
                <w:sz w:val="24"/>
              </w:rPr>
            </w:pPr>
          </w:p>
        </w:tc>
      </w:tr>
      <w:tr>
        <w:tblPrEx>
          <w:tblCellMar>
            <w:top w:w="0" w:type="dxa"/>
            <w:left w:w="0" w:type="dxa"/>
            <w:bottom w:w="0" w:type="dxa"/>
            <w:right w:w="0" w:type="dxa"/>
          </w:tblCellMar>
        </w:tblPrEx>
        <w:trPr>
          <w:trHeight w:val="480"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其他</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 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b/>
                <w:color w:val="000000"/>
                <w:sz w:val="24"/>
              </w:rPr>
            </w:pPr>
          </w:p>
        </w:tc>
      </w:tr>
      <w:tr>
        <w:tblPrEx>
          <w:tblCellMar>
            <w:top w:w="0" w:type="dxa"/>
            <w:left w:w="0" w:type="dxa"/>
            <w:bottom w:w="0" w:type="dxa"/>
            <w:right w:w="0" w:type="dxa"/>
          </w:tblCellMar>
        </w:tblPrEx>
        <w:trPr>
          <w:trHeight w:val="480"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r>
              <w:rPr>
                <w:rFonts w:hint="eastAsia" w:ascii="宋体" w:hAnsi="宋体" w:cs="宋体"/>
                <w:b/>
                <w:color w:val="000000"/>
                <w:sz w:val="24"/>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r>
              <w:rPr>
                <w:rFonts w:hint="eastAsia" w:ascii="宋体" w:hAnsi="宋体" w:cs="宋体"/>
                <w:b/>
                <w:color w:val="000000"/>
                <w:sz w:val="24"/>
              </w:rPr>
              <w:t>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b/>
                <w:color w:val="000000"/>
                <w:sz w:val="24"/>
              </w:rPr>
            </w:pPr>
          </w:p>
        </w:tc>
      </w:tr>
    </w:tbl>
    <w:p>
      <w:pPr>
        <w:snapToGrid w:val="0"/>
        <w:spacing w:line="380" w:lineRule="exact"/>
        <w:rPr>
          <w:rFonts w:hint="eastAsia"/>
          <w:b/>
          <w:bCs/>
          <w:sz w:val="36"/>
          <w:szCs w:val="36"/>
        </w:rPr>
      </w:pPr>
    </w:p>
    <w:p>
      <w:pPr>
        <w:snapToGrid w:val="0"/>
        <w:spacing w:line="380" w:lineRule="exact"/>
        <w:rPr>
          <w:rFonts w:hint="eastAsia"/>
          <w:b/>
          <w:bCs/>
          <w:sz w:val="36"/>
          <w:szCs w:val="36"/>
        </w:rPr>
      </w:pPr>
    </w:p>
    <w:p>
      <w:pPr>
        <w:snapToGrid w:val="0"/>
        <w:spacing w:line="380" w:lineRule="exact"/>
        <w:rPr>
          <w:rFonts w:hint="eastAsia"/>
          <w:b/>
          <w:bCs/>
          <w:sz w:val="36"/>
          <w:szCs w:val="36"/>
        </w:rPr>
      </w:pPr>
    </w:p>
    <w:tbl>
      <w:tblPr>
        <w:tblStyle w:val="4"/>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1410"/>
        <w:gridCol w:w="1830"/>
        <w:gridCol w:w="5655"/>
        <w:gridCol w:w="810"/>
        <w:gridCol w:w="1410"/>
        <w:gridCol w:w="157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4190" w:type="dxa"/>
            <w:gridSpan w:val="8"/>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eastAsia" w:ascii="黑体" w:hAnsi="宋体" w:eastAsia="黑体" w:cs="黑体"/>
                <w:color w:val="000000"/>
                <w:kern w:val="0"/>
                <w:sz w:val="40"/>
                <w:szCs w:val="40"/>
                <w:lang w:bidi="ar"/>
              </w:rPr>
              <w:t>附件</w:t>
            </w:r>
            <w:r>
              <w:rPr>
                <w:rFonts w:hint="eastAsia" w:ascii="黑体" w:hAnsi="宋体" w:eastAsia="黑体" w:cs="黑体"/>
                <w:color w:val="000000"/>
                <w:kern w:val="0"/>
                <w:sz w:val="40"/>
                <w:szCs w:val="40"/>
                <w:lang w:val="en-US" w:eastAsia="zh-CN" w:bidi="ar"/>
              </w:rPr>
              <w:t>6</w:t>
            </w:r>
            <w:r>
              <w:rPr>
                <w:rFonts w:hint="eastAsia" w:ascii="黑体" w:hAnsi="宋体" w:eastAsia="黑体" w:cs="黑体"/>
                <w:color w:val="000000"/>
                <w:kern w:val="0"/>
                <w:sz w:val="40"/>
                <w:szCs w:val="40"/>
                <w:lang w:bidi="ar"/>
              </w:rPr>
              <w:t>：</w:t>
            </w:r>
            <w:r>
              <w:rPr>
                <w:rFonts w:hint="default" w:ascii="方正小标宋简体" w:hAnsi="方正小标宋简体" w:eastAsia="方正小标宋简体" w:cs="方正小标宋简体"/>
                <w:i w:val="0"/>
                <w:iCs w:val="0"/>
                <w:color w:val="000000"/>
                <w:kern w:val="0"/>
                <w:sz w:val="48"/>
                <w:szCs w:val="48"/>
                <w:u w:val="none"/>
                <w:lang w:val="en-US" w:eastAsia="zh-CN" w:bidi="ar"/>
              </w:rPr>
              <w:t>上垟镇随机抽查事项清单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抽查事项</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抽查对象</w:t>
            </w:r>
          </w:p>
        </w:tc>
        <w:tc>
          <w:tcPr>
            <w:tcW w:w="5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抽查内容</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抽查方式</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抽查比例和频次</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抽查结果公示方式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6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在委托范围内，以委托的安全监管监察部门名义实施的行政处罚</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公民、法人或其他组织</w:t>
            </w:r>
          </w:p>
        </w:tc>
        <w:tc>
          <w:tcPr>
            <w:tcW w:w="5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生产违法行为行政处罚办法》（2007年11月国家安监总局令第15号）第十二条：“安全监管监察部门根据需要，可以在其法定职权范围内委托符合行政处罚法第十九条规定条件的组织或者乡镇人民政府、城市街道办事处设立的安全生产监督管理机构实施行政处罚。受委托的单位在委托范围内，以委托的安全监管监察部门名义实施行政处罚。”</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实地核查</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定向抽查每年不少于12次，比例不低于100%。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抽查结果由镇安监站向社会公布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对生产经营单位排查治理事故隐患工作依法实施监督管理</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生产经营单位</w:t>
            </w:r>
          </w:p>
        </w:tc>
        <w:tc>
          <w:tcPr>
            <w:tcW w:w="5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生产事故隐患排查治理暂行规定》（2007年12月国家安全生产监督管理总局令第16号）第五条：各级安全监管监察部门按照职责对所辖区域内生产经营单位排查治理事故隐患工作依法实施综合监督管理;各级人民政府有关部门在各自职责范围内对生产经营单位排查治理事故隐患工作依法实施监督管理。</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实地核查</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定向抽查每年不少于12次，比例不低于100%。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抽查结果由镇安监站向社会公布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行政区域内生产经营单位安全生产状况监督检查</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公民、法人或其他组织</w:t>
            </w:r>
          </w:p>
        </w:tc>
        <w:tc>
          <w:tcPr>
            <w:tcW w:w="5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生产法》（2002年6月通过）第八条：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实地核查</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定向抽查每年不少于12次，比例不低于100%。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抽查结果由镇安监站向社会公布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bl>
    <w:p>
      <w:pPr>
        <w:snapToGrid w:val="0"/>
        <w:spacing w:line="380" w:lineRule="exact"/>
        <w:rPr>
          <w:rFonts w:hint="eastAsia"/>
          <w:b/>
          <w:bCs/>
          <w:sz w:val="36"/>
          <w:szCs w:val="36"/>
        </w:rPr>
      </w:pPr>
    </w:p>
    <w:sectPr>
      <w:pgSz w:w="16838" w:h="11906" w:orient="landscape"/>
      <w:pgMar w:top="1474" w:right="1474" w:bottom="1474" w:left="170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ZFS">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2010601030101010101"/>
    <w:charset w:val="86"/>
    <w:family w:val="auto"/>
    <w:pitch w:val="default"/>
    <w:sig w:usb0="00000000" w:usb1="00000000" w:usb2="00000000" w:usb3="00000000" w:csb0="00040000" w:csb1="00000000"/>
  </w:font>
  <w:font w:name="FZ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445C5"/>
    <w:rsid w:val="005349A6"/>
    <w:rsid w:val="0CB66F6E"/>
    <w:rsid w:val="1AB41E06"/>
    <w:rsid w:val="23E83605"/>
    <w:rsid w:val="262908F9"/>
    <w:rsid w:val="2B313D91"/>
    <w:rsid w:val="33A02CA9"/>
    <w:rsid w:val="33BB7CEF"/>
    <w:rsid w:val="3AD94CE1"/>
    <w:rsid w:val="4DE46A51"/>
    <w:rsid w:val="4E016A23"/>
    <w:rsid w:val="4E0C4F73"/>
    <w:rsid w:val="51E80ED4"/>
    <w:rsid w:val="58117932"/>
    <w:rsid w:val="5E0F69D5"/>
    <w:rsid w:val="5FCC70FE"/>
    <w:rsid w:val="601A12DC"/>
    <w:rsid w:val="63E445C5"/>
    <w:rsid w:val="69C9028B"/>
    <w:rsid w:val="79D17F81"/>
    <w:rsid w:val="7A7A4162"/>
    <w:rsid w:val="7FAD4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2019-06-20T05:46:00Z</dcterms:created>
  <dc:creator>Administrator</dc:creator>
  <cp:lastModifiedBy>Administrator</cp:lastModifiedBy>
  <cp:lastPrinted>2020-11-25T02:47:00Z</cp:lastPrinted>
  <dcterms:modified xsi:type="dcterms:W3CDTF">2022-02-14T01:41:20Z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A6B32708B1CB45C48FF1F66109E037FF</vt:lpwstr>
  </property>
</Properties>
</file>