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9FC" w:rsidRDefault="006639FC" w:rsidP="006639FC">
      <w:pPr>
        <w:jc w:val="left"/>
        <w:rPr>
          <w:b/>
          <w:bCs/>
          <w:sz w:val="44"/>
          <w:szCs w:val="44"/>
        </w:rPr>
      </w:pPr>
      <w:r>
        <w:rPr>
          <w:rFonts w:hint="eastAsia"/>
          <w:b/>
          <w:bCs/>
          <w:sz w:val="44"/>
          <w:szCs w:val="44"/>
        </w:rPr>
        <w:t>附件</w:t>
      </w:r>
      <w:r>
        <w:rPr>
          <w:rFonts w:hint="eastAsia"/>
          <w:b/>
          <w:bCs/>
          <w:sz w:val="44"/>
          <w:szCs w:val="44"/>
        </w:rPr>
        <w:t>2</w:t>
      </w:r>
    </w:p>
    <w:p w:rsidR="006639FC" w:rsidRDefault="00AB28C1" w:rsidP="00AB28C1">
      <w:pPr>
        <w:spacing w:line="400" w:lineRule="exact"/>
        <w:jc w:val="center"/>
        <w:rPr>
          <w:rFonts w:ascii="宋体" w:hAnsi="宋体" w:cs="宋体"/>
          <w:b/>
          <w:sz w:val="36"/>
          <w:szCs w:val="36"/>
        </w:rPr>
      </w:pPr>
      <w:r>
        <w:rPr>
          <w:rFonts w:ascii="宋体" w:hAnsi="宋体" w:cs="宋体" w:hint="eastAsia"/>
          <w:b/>
          <w:sz w:val="36"/>
          <w:szCs w:val="36"/>
        </w:rPr>
        <w:t>安仁</w:t>
      </w:r>
      <w:proofErr w:type="gramStart"/>
      <w:r>
        <w:rPr>
          <w:rFonts w:ascii="宋体" w:hAnsi="宋体" w:cs="宋体" w:hint="eastAsia"/>
          <w:b/>
          <w:sz w:val="36"/>
          <w:szCs w:val="36"/>
        </w:rPr>
        <w:t>镇</w:t>
      </w:r>
      <w:r w:rsidR="006639FC">
        <w:rPr>
          <w:rFonts w:ascii="宋体" w:hAnsi="宋体" w:cs="宋体" w:hint="eastAsia"/>
          <w:b/>
          <w:sz w:val="36"/>
          <w:szCs w:val="36"/>
        </w:rPr>
        <w:t>重大</w:t>
      </w:r>
      <w:proofErr w:type="gramEnd"/>
      <w:r w:rsidR="006639FC">
        <w:rPr>
          <w:rFonts w:ascii="宋体" w:hAnsi="宋体" w:cs="宋体" w:hint="eastAsia"/>
          <w:b/>
          <w:sz w:val="36"/>
          <w:szCs w:val="36"/>
        </w:rPr>
        <w:t>执法决定法制审核目录清单</w:t>
      </w:r>
    </w:p>
    <w:p w:rsidR="006639FC" w:rsidRDefault="006639FC" w:rsidP="006639FC">
      <w:pPr>
        <w:spacing w:line="400" w:lineRule="exact"/>
        <w:rPr>
          <w:rFonts w:ascii="仿宋" w:eastAsia="仿宋" w:hAnsi="仿宋"/>
          <w:sz w:val="32"/>
          <w:szCs w:val="32"/>
        </w:rPr>
      </w:pPr>
    </w:p>
    <w:tbl>
      <w:tblPr>
        <w:tblW w:w="9073" w:type="dxa"/>
        <w:tblInd w:w="-134" w:type="dxa"/>
        <w:tblBorders>
          <w:top w:val="outset" w:sz="6" w:space="0" w:color="000000"/>
          <w:left w:val="outset" w:sz="6" w:space="0" w:color="000000"/>
          <w:bottom w:val="outset" w:sz="6" w:space="0" w:color="000000"/>
          <w:right w:val="outset" w:sz="6" w:space="0" w:color="000000"/>
        </w:tblBorders>
        <w:shd w:val="clear" w:color="auto" w:fill="FFFFFF"/>
        <w:tblLayout w:type="fixed"/>
        <w:tblCellMar>
          <w:left w:w="0" w:type="dxa"/>
          <w:right w:w="0" w:type="dxa"/>
        </w:tblCellMar>
        <w:tblLook w:val="0000"/>
      </w:tblPr>
      <w:tblGrid>
        <w:gridCol w:w="525"/>
        <w:gridCol w:w="1602"/>
        <w:gridCol w:w="5670"/>
        <w:gridCol w:w="709"/>
        <w:gridCol w:w="567"/>
      </w:tblGrid>
      <w:tr w:rsidR="006639FC" w:rsidTr="00AB28C1">
        <w:trPr>
          <w:trHeight w:val="780"/>
        </w:trPr>
        <w:tc>
          <w:tcPr>
            <w:tcW w:w="52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jc w:val="center"/>
              <w:rPr>
                <w:rFonts w:ascii="仿宋" w:eastAsia="仿宋" w:hAnsi="仿宋" w:cs="宋体"/>
                <w:color w:val="333333"/>
                <w:kern w:val="0"/>
                <w:szCs w:val="21"/>
              </w:rPr>
            </w:pPr>
            <w:r>
              <w:rPr>
                <w:rFonts w:ascii="仿宋" w:eastAsia="仿宋" w:hAnsi="仿宋" w:cs="宋体" w:hint="eastAsia"/>
                <w:color w:val="333333"/>
                <w:kern w:val="0"/>
                <w:szCs w:val="21"/>
              </w:rPr>
              <w:t>序号</w:t>
            </w:r>
          </w:p>
        </w:tc>
        <w:tc>
          <w:tcPr>
            <w:tcW w:w="16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jc w:val="center"/>
              <w:rPr>
                <w:rFonts w:ascii="仿宋" w:eastAsia="仿宋" w:hAnsi="仿宋" w:cs="宋体"/>
                <w:color w:val="333333"/>
                <w:kern w:val="0"/>
                <w:szCs w:val="21"/>
              </w:rPr>
            </w:pPr>
            <w:r>
              <w:rPr>
                <w:rFonts w:ascii="仿宋" w:eastAsia="仿宋" w:hAnsi="仿宋" w:cs="宋体" w:hint="eastAsia"/>
                <w:color w:val="333333"/>
                <w:kern w:val="0"/>
                <w:szCs w:val="21"/>
              </w:rPr>
              <w:t>审核事项</w:t>
            </w:r>
          </w:p>
        </w:tc>
        <w:tc>
          <w:tcPr>
            <w:tcW w:w="56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jc w:val="center"/>
              <w:rPr>
                <w:rFonts w:ascii="仿宋" w:eastAsia="仿宋" w:hAnsi="仿宋" w:cs="宋体"/>
                <w:color w:val="333333"/>
                <w:kern w:val="0"/>
                <w:szCs w:val="21"/>
              </w:rPr>
            </w:pPr>
            <w:r>
              <w:rPr>
                <w:rFonts w:ascii="仿宋" w:eastAsia="仿宋" w:hAnsi="仿宋" w:cs="宋体" w:hint="eastAsia"/>
                <w:color w:val="333333"/>
                <w:kern w:val="0"/>
                <w:szCs w:val="21"/>
              </w:rPr>
              <w:t>实施依据</w:t>
            </w:r>
          </w:p>
        </w:tc>
        <w:tc>
          <w:tcPr>
            <w:tcW w:w="7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jc w:val="center"/>
              <w:rPr>
                <w:rFonts w:ascii="仿宋" w:eastAsia="仿宋" w:hAnsi="仿宋" w:cs="宋体"/>
                <w:color w:val="333333"/>
                <w:kern w:val="0"/>
                <w:szCs w:val="21"/>
              </w:rPr>
            </w:pPr>
            <w:r>
              <w:rPr>
                <w:rFonts w:ascii="仿宋" w:eastAsia="仿宋" w:hAnsi="仿宋" w:cs="宋体" w:hint="eastAsia"/>
                <w:color w:val="333333"/>
                <w:kern w:val="0"/>
                <w:szCs w:val="21"/>
              </w:rPr>
              <w:t>事项类别</w:t>
            </w:r>
          </w:p>
        </w:tc>
        <w:tc>
          <w:tcPr>
            <w:tcW w:w="5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jc w:val="center"/>
              <w:rPr>
                <w:rFonts w:ascii="仿宋" w:eastAsia="仿宋" w:hAnsi="仿宋" w:cs="宋体"/>
                <w:color w:val="333333"/>
                <w:kern w:val="0"/>
                <w:szCs w:val="21"/>
              </w:rPr>
            </w:pPr>
            <w:r>
              <w:rPr>
                <w:rFonts w:ascii="仿宋" w:eastAsia="仿宋" w:hAnsi="仿宋" w:cs="宋体" w:hint="eastAsia"/>
                <w:color w:val="333333"/>
                <w:kern w:val="0"/>
                <w:szCs w:val="21"/>
              </w:rPr>
              <w:t>备注</w:t>
            </w:r>
          </w:p>
        </w:tc>
      </w:tr>
      <w:tr w:rsidR="006639FC" w:rsidTr="00AB28C1">
        <w:trPr>
          <w:trHeight w:val="3075"/>
        </w:trPr>
        <w:tc>
          <w:tcPr>
            <w:tcW w:w="52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jc w:val="center"/>
              <w:rPr>
                <w:rFonts w:ascii="仿宋" w:eastAsia="仿宋" w:hAnsi="仿宋" w:cs="宋体"/>
                <w:color w:val="333333"/>
                <w:kern w:val="0"/>
                <w:szCs w:val="21"/>
              </w:rPr>
            </w:pPr>
            <w:r>
              <w:rPr>
                <w:rFonts w:ascii="仿宋" w:eastAsia="仿宋" w:hAnsi="仿宋" w:cs="宋体" w:hint="eastAsia"/>
                <w:color w:val="333333"/>
                <w:kern w:val="0"/>
                <w:szCs w:val="21"/>
              </w:rPr>
              <w:t>1</w:t>
            </w:r>
          </w:p>
        </w:tc>
        <w:tc>
          <w:tcPr>
            <w:tcW w:w="16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对买卖或以其它形式非法转让土地的行政处罚</w:t>
            </w:r>
          </w:p>
        </w:tc>
        <w:tc>
          <w:tcPr>
            <w:tcW w:w="56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中华人民共和国土地管理法》第七十三条:“买卖或者以其他形式非法转让土地的，由县级以上人民政府土地行政主管部门没收违法所得；对违反土地利用总体规划擅自将农用地改为建设用地的，限期拆除在非法转让的土地上新建的建筑物和其他设施，恢复土地原状，对符合土地利用总体规划的，没收在非法转让的土地上新建的建筑物和其他设施；可以并处罚款；对直接负责的主管人员和其他直接责任人员，依法给予行政处分；构成犯罪的，依法追究刑事责任”。</w:t>
            </w:r>
          </w:p>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《中华人民共和国土地管理法实施条例》第三十八条:“依照《土地管理法》第七十三条的规定处以罚款的，罚款额为非法所得的50%以下”。</w:t>
            </w:r>
          </w:p>
        </w:tc>
        <w:tc>
          <w:tcPr>
            <w:tcW w:w="7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重大行政处罚</w:t>
            </w:r>
          </w:p>
        </w:tc>
        <w:tc>
          <w:tcPr>
            <w:tcW w:w="5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p>
        </w:tc>
      </w:tr>
      <w:tr w:rsidR="006639FC" w:rsidTr="00AB28C1">
        <w:trPr>
          <w:trHeight w:val="1890"/>
        </w:trPr>
        <w:tc>
          <w:tcPr>
            <w:tcW w:w="52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jc w:val="center"/>
              <w:rPr>
                <w:rFonts w:ascii="仿宋" w:eastAsia="仿宋" w:hAnsi="仿宋" w:cs="宋体"/>
                <w:color w:val="333333"/>
                <w:kern w:val="0"/>
                <w:szCs w:val="21"/>
              </w:rPr>
            </w:pPr>
            <w:r>
              <w:rPr>
                <w:rFonts w:ascii="仿宋" w:eastAsia="仿宋" w:hAnsi="仿宋" w:cs="宋体" w:hint="eastAsia"/>
                <w:color w:val="333333"/>
                <w:kern w:val="0"/>
                <w:szCs w:val="21"/>
              </w:rPr>
              <w:t>2</w:t>
            </w:r>
          </w:p>
        </w:tc>
        <w:tc>
          <w:tcPr>
            <w:tcW w:w="16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对违法占用耕地建窑、建坟或者擅自在耕地上建房、挖砂、采石、采矿、取土等，破坏种植条件的，或者因开发土地造成荒漠化、盐渍化的行政处罚</w:t>
            </w:r>
          </w:p>
        </w:tc>
        <w:tc>
          <w:tcPr>
            <w:tcW w:w="56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中华人民共和国土地管理法》第七十四条:“违反本法规定，占用耕地建窑、建坟或者擅自在耕地上建房、挖砂、采石、采矿、取土等，破坏种植条件的，或者因开发土地造成土地荒漠化、盐渍化的，由县级以上人民政府土地行政主管部门责令限期改正或者治理，可以并处罚款；构成犯罪的，依法追究刑事责任”。</w:t>
            </w:r>
          </w:p>
        </w:tc>
        <w:tc>
          <w:tcPr>
            <w:tcW w:w="7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重大行政处罚</w:t>
            </w:r>
          </w:p>
        </w:tc>
        <w:tc>
          <w:tcPr>
            <w:tcW w:w="5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p>
        </w:tc>
      </w:tr>
      <w:tr w:rsidR="006639FC" w:rsidTr="00AB28C1">
        <w:trPr>
          <w:trHeight w:val="1005"/>
        </w:trPr>
        <w:tc>
          <w:tcPr>
            <w:tcW w:w="52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jc w:val="center"/>
              <w:rPr>
                <w:rFonts w:ascii="仿宋" w:eastAsia="仿宋" w:hAnsi="仿宋" w:cs="宋体"/>
                <w:color w:val="333333"/>
                <w:kern w:val="0"/>
                <w:szCs w:val="21"/>
              </w:rPr>
            </w:pPr>
            <w:r>
              <w:rPr>
                <w:rFonts w:ascii="仿宋" w:eastAsia="仿宋" w:hAnsi="仿宋" w:cs="宋体" w:hint="eastAsia"/>
                <w:color w:val="333333"/>
                <w:kern w:val="0"/>
                <w:szCs w:val="21"/>
              </w:rPr>
              <w:t>3</w:t>
            </w:r>
          </w:p>
        </w:tc>
        <w:tc>
          <w:tcPr>
            <w:tcW w:w="16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对未经批准或者采取欺骗手段骗取批准，非法占用土地的行政处罚</w:t>
            </w:r>
          </w:p>
        </w:tc>
        <w:tc>
          <w:tcPr>
            <w:tcW w:w="56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中华人民共和国土地管理法》第七十六条:“未经批准或者采取欺骗手段骗取批准，非法占用土地的，由县级以上人民政府土地行政主管部门责令退还非法占用的土地，对违反土地利用总体规划擅自将农用地改为建设用地的，限期拆除在非法占用的土地上新建的建筑物和其他设施，恢复土地原状，对符合土地利用总体规划的，没收在非法占用的土地上新建的建筑物和其他设施，可以并处罚款；对非法占用土地单位的直接负责的主管人员和其他直接责任人员，依法给予行政处分；构成犯罪的，依法追究刑事责任。超过批准的数量占用土地，多占的</w:t>
            </w:r>
            <w:r>
              <w:rPr>
                <w:rFonts w:ascii="仿宋" w:eastAsia="仿宋" w:hAnsi="仿宋" w:cs="宋体" w:hint="eastAsia"/>
                <w:color w:val="333333"/>
                <w:kern w:val="0"/>
                <w:szCs w:val="21"/>
              </w:rPr>
              <w:lastRenderedPageBreak/>
              <w:t>土地以非法占用土地论处”。</w:t>
            </w:r>
          </w:p>
        </w:tc>
        <w:tc>
          <w:tcPr>
            <w:tcW w:w="7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lastRenderedPageBreak/>
              <w:t>重大行政处罚</w:t>
            </w:r>
          </w:p>
        </w:tc>
        <w:tc>
          <w:tcPr>
            <w:tcW w:w="5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p>
        </w:tc>
      </w:tr>
      <w:tr w:rsidR="006639FC" w:rsidTr="00AB28C1">
        <w:trPr>
          <w:trHeight w:val="1530"/>
        </w:trPr>
        <w:tc>
          <w:tcPr>
            <w:tcW w:w="52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jc w:val="center"/>
              <w:rPr>
                <w:rFonts w:ascii="仿宋" w:eastAsia="仿宋" w:hAnsi="仿宋" w:cs="宋体"/>
                <w:color w:val="333333"/>
                <w:kern w:val="0"/>
                <w:szCs w:val="21"/>
              </w:rPr>
            </w:pPr>
            <w:r>
              <w:rPr>
                <w:rFonts w:ascii="仿宋" w:eastAsia="仿宋" w:hAnsi="仿宋" w:cs="宋体" w:hint="eastAsia"/>
                <w:color w:val="333333"/>
                <w:kern w:val="0"/>
                <w:szCs w:val="21"/>
              </w:rPr>
              <w:lastRenderedPageBreak/>
              <w:t>4</w:t>
            </w:r>
          </w:p>
        </w:tc>
        <w:tc>
          <w:tcPr>
            <w:tcW w:w="16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对依法收回国有土地使用权当事人拒不交出土地，临时使用土地期满拒不归还的，或者不按照批准的用途使用国有土地的行政处罚</w:t>
            </w:r>
          </w:p>
        </w:tc>
        <w:tc>
          <w:tcPr>
            <w:tcW w:w="56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中华人民共和国土地管理法》第八十条:“依法收回国有土地使用权当事人拒不交出土地的，临时使用土地期满拒不归还的，或者不按照批准的用途使用国有土地的，由县级以上人民政府土地行政主管部门责令交还土地，处以罚款”。</w:t>
            </w:r>
          </w:p>
        </w:tc>
        <w:tc>
          <w:tcPr>
            <w:tcW w:w="7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重大行政处罚</w:t>
            </w:r>
          </w:p>
        </w:tc>
        <w:tc>
          <w:tcPr>
            <w:tcW w:w="5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p>
        </w:tc>
      </w:tr>
      <w:tr w:rsidR="006639FC" w:rsidTr="00AB28C1">
        <w:trPr>
          <w:trHeight w:val="1335"/>
        </w:trPr>
        <w:tc>
          <w:tcPr>
            <w:tcW w:w="52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jc w:val="center"/>
              <w:rPr>
                <w:rFonts w:ascii="仿宋" w:eastAsia="仿宋" w:hAnsi="仿宋" w:cs="宋体"/>
                <w:color w:val="333333"/>
                <w:kern w:val="0"/>
                <w:szCs w:val="21"/>
              </w:rPr>
            </w:pPr>
            <w:r>
              <w:rPr>
                <w:rFonts w:ascii="仿宋" w:eastAsia="仿宋" w:hAnsi="仿宋" w:cs="宋体" w:hint="eastAsia"/>
                <w:color w:val="333333"/>
                <w:kern w:val="0"/>
                <w:szCs w:val="21"/>
              </w:rPr>
              <w:t>5</w:t>
            </w:r>
          </w:p>
        </w:tc>
        <w:tc>
          <w:tcPr>
            <w:tcW w:w="16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对拒不履行土地复垦义务的行政处罚</w:t>
            </w:r>
          </w:p>
        </w:tc>
        <w:tc>
          <w:tcPr>
            <w:tcW w:w="56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中华人民共和国土地管理法》第七十五条:“违反本法规定，拒不履行土地复垦义务的，由县级以上人民政府土地行政主管部门责令限期改正；逾期不改正的，责令缴纳复垦费，专项用于土地复垦，可以处以罚款”。</w:t>
            </w:r>
          </w:p>
        </w:tc>
        <w:tc>
          <w:tcPr>
            <w:tcW w:w="7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重大行政处罚</w:t>
            </w:r>
          </w:p>
        </w:tc>
        <w:tc>
          <w:tcPr>
            <w:tcW w:w="5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p>
        </w:tc>
      </w:tr>
      <w:tr w:rsidR="006639FC" w:rsidTr="00AB28C1">
        <w:trPr>
          <w:trHeight w:val="1410"/>
        </w:trPr>
        <w:tc>
          <w:tcPr>
            <w:tcW w:w="52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jc w:val="center"/>
              <w:rPr>
                <w:rFonts w:ascii="仿宋" w:eastAsia="仿宋" w:hAnsi="仿宋" w:cs="宋体"/>
                <w:color w:val="333333"/>
                <w:kern w:val="0"/>
                <w:szCs w:val="21"/>
              </w:rPr>
            </w:pPr>
            <w:r>
              <w:rPr>
                <w:rFonts w:ascii="仿宋" w:eastAsia="仿宋" w:hAnsi="仿宋" w:cs="宋体" w:hint="eastAsia"/>
                <w:color w:val="333333"/>
                <w:kern w:val="0"/>
                <w:szCs w:val="21"/>
              </w:rPr>
              <w:t>6</w:t>
            </w:r>
          </w:p>
        </w:tc>
        <w:tc>
          <w:tcPr>
            <w:tcW w:w="16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对擅自将农民集体所有的集体土地所有权出让、转让或者出租用于非农业建设的行政处罚</w:t>
            </w:r>
          </w:p>
        </w:tc>
        <w:tc>
          <w:tcPr>
            <w:tcW w:w="56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《中华人民共和国土地管理法》第八十一条: “擅自将农民集体所有的土地的使用权出让、转让或者出租用于非农业建设的，由县级以上人民政府土地行政主管部门责令限期改正，没收违法所得，并处罚款”。</w:t>
            </w:r>
          </w:p>
        </w:tc>
        <w:tc>
          <w:tcPr>
            <w:tcW w:w="7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重大行政处罚</w:t>
            </w:r>
          </w:p>
        </w:tc>
        <w:tc>
          <w:tcPr>
            <w:tcW w:w="5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p>
        </w:tc>
      </w:tr>
      <w:tr w:rsidR="006639FC" w:rsidTr="00AB28C1">
        <w:trPr>
          <w:trHeight w:val="2055"/>
        </w:trPr>
        <w:tc>
          <w:tcPr>
            <w:tcW w:w="52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jc w:val="center"/>
              <w:rPr>
                <w:rFonts w:ascii="仿宋" w:eastAsia="仿宋" w:hAnsi="仿宋" w:cs="宋体"/>
                <w:color w:val="333333"/>
                <w:kern w:val="0"/>
                <w:szCs w:val="21"/>
              </w:rPr>
            </w:pPr>
            <w:r>
              <w:rPr>
                <w:rFonts w:ascii="仿宋" w:eastAsia="仿宋" w:hAnsi="仿宋" w:cs="宋体" w:hint="eastAsia"/>
                <w:color w:val="333333"/>
                <w:kern w:val="0"/>
                <w:szCs w:val="21"/>
              </w:rPr>
              <w:t>7</w:t>
            </w:r>
          </w:p>
        </w:tc>
        <w:tc>
          <w:tcPr>
            <w:tcW w:w="16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对建设项目施工和地质勘查需要临时占用耕地拒不恢复种植条件的行政处罚</w:t>
            </w:r>
          </w:p>
        </w:tc>
        <w:tc>
          <w:tcPr>
            <w:tcW w:w="56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《中华人民共和国土地管理法实施条例》第二十八条</w:t>
            </w:r>
            <w:r>
              <w:rPr>
                <w:rFonts w:ascii="微软雅黑" w:eastAsia="仿宋" w:hAnsi="微软雅黑" w:cs="宋体" w:hint="eastAsia"/>
                <w:color w:val="333333"/>
                <w:kern w:val="0"/>
                <w:szCs w:val="21"/>
              </w:rPr>
              <w:t>  </w:t>
            </w:r>
            <w:r>
              <w:rPr>
                <w:rFonts w:ascii="仿宋" w:eastAsia="仿宋" w:hAnsi="仿宋" w:cs="宋体" w:hint="eastAsia"/>
                <w:color w:val="333333"/>
                <w:kern w:val="0"/>
                <w:szCs w:val="21"/>
              </w:rPr>
              <w:t>建设项目施工和地质勘查需要临时占用耕地的，土地使用者应当自临时用地期满之日起１年内恢复种植条件。</w:t>
            </w:r>
          </w:p>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《中华人民共和国土地管理法实施条例》第四十四条</w:t>
            </w:r>
            <w:r>
              <w:rPr>
                <w:rFonts w:ascii="微软雅黑" w:eastAsia="仿宋" w:hAnsi="微软雅黑" w:cs="宋体" w:hint="eastAsia"/>
                <w:color w:val="333333"/>
                <w:kern w:val="0"/>
                <w:szCs w:val="21"/>
              </w:rPr>
              <w:t>  </w:t>
            </w:r>
            <w:r>
              <w:rPr>
                <w:rFonts w:ascii="仿宋" w:eastAsia="仿宋" w:hAnsi="仿宋" w:cs="宋体" w:hint="eastAsia"/>
                <w:color w:val="333333"/>
                <w:kern w:val="0"/>
                <w:szCs w:val="21"/>
              </w:rPr>
              <w:t>违反本条例第二十八条的规定，逾期不恢复种植条件的，由县级以上人民政府土地行政主管部门责令限期改正，可以处耕地复垦费２倍以下的罚款。</w:t>
            </w:r>
          </w:p>
        </w:tc>
        <w:tc>
          <w:tcPr>
            <w:tcW w:w="7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重大行政处罚</w:t>
            </w:r>
          </w:p>
        </w:tc>
        <w:tc>
          <w:tcPr>
            <w:tcW w:w="5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p>
        </w:tc>
      </w:tr>
      <w:tr w:rsidR="006639FC" w:rsidTr="00AB28C1">
        <w:trPr>
          <w:trHeight w:val="1425"/>
        </w:trPr>
        <w:tc>
          <w:tcPr>
            <w:tcW w:w="52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jc w:val="center"/>
              <w:rPr>
                <w:rFonts w:ascii="仿宋" w:eastAsia="仿宋" w:hAnsi="仿宋" w:cs="宋体"/>
                <w:color w:val="333333"/>
                <w:kern w:val="0"/>
                <w:szCs w:val="21"/>
              </w:rPr>
            </w:pPr>
            <w:r>
              <w:rPr>
                <w:rFonts w:ascii="仿宋" w:eastAsia="仿宋" w:hAnsi="仿宋" w:cs="宋体" w:hint="eastAsia"/>
                <w:color w:val="333333"/>
                <w:kern w:val="0"/>
                <w:szCs w:val="21"/>
              </w:rPr>
              <w:t>8</w:t>
            </w:r>
          </w:p>
        </w:tc>
        <w:tc>
          <w:tcPr>
            <w:tcW w:w="16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对违反规定在土地利用总体规划确定的禁止开垦区内进行开垦的等非法使用农用地的行政处罚</w:t>
            </w:r>
          </w:p>
        </w:tc>
        <w:tc>
          <w:tcPr>
            <w:tcW w:w="56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《中华人民共和国土地管理法实施条例》第三十四条</w:t>
            </w:r>
            <w:r>
              <w:rPr>
                <w:rFonts w:ascii="微软雅黑" w:eastAsia="仿宋" w:hAnsi="微软雅黑" w:cs="宋体" w:hint="eastAsia"/>
                <w:color w:val="333333"/>
                <w:kern w:val="0"/>
                <w:szCs w:val="21"/>
              </w:rPr>
              <w:t>  </w:t>
            </w:r>
            <w:r>
              <w:rPr>
                <w:rFonts w:ascii="仿宋" w:eastAsia="仿宋" w:hAnsi="仿宋" w:cs="宋体" w:hint="eastAsia"/>
                <w:color w:val="333333"/>
                <w:kern w:val="0"/>
                <w:szCs w:val="21"/>
              </w:rPr>
              <w:t>违反本条例第十七条的规定，在土地利用总体规划确定的禁止开垦区内进行开垦的，由县级以上人民政府土地行政主管部门责令限期改正；逾期不改正的，依照《土地管理法》第七十六条的规定处罚。</w:t>
            </w:r>
          </w:p>
        </w:tc>
        <w:tc>
          <w:tcPr>
            <w:tcW w:w="7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重大行政处罚</w:t>
            </w:r>
          </w:p>
        </w:tc>
        <w:tc>
          <w:tcPr>
            <w:tcW w:w="5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p>
        </w:tc>
      </w:tr>
      <w:tr w:rsidR="006639FC" w:rsidTr="00AB28C1">
        <w:trPr>
          <w:trHeight w:val="1665"/>
        </w:trPr>
        <w:tc>
          <w:tcPr>
            <w:tcW w:w="52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jc w:val="center"/>
              <w:rPr>
                <w:rFonts w:ascii="仿宋" w:eastAsia="仿宋" w:hAnsi="仿宋" w:cs="宋体"/>
                <w:color w:val="333333"/>
                <w:kern w:val="0"/>
                <w:szCs w:val="21"/>
              </w:rPr>
            </w:pPr>
            <w:r>
              <w:rPr>
                <w:rFonts w:ascii="仿宋" w:eastAsia="仿宋" w:hAnsi="仿宋" w:cs="宋体" w:hint="eastAsia"/>
                <w:color w:val="333333"/>
                <w:kern w:val="0"/>
                <w:szCs w:val="21"/>
              </w:rPr>
              <w:lastRenderedPageBreak/>
              <w:t>9</w:t>
            </w:r>
          </w:p>
        </w:tc>
        <w:tc>
          <w:tcPr>
            <w:tcW w:w="16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对在土地利用总体规划制定前已建的不符合土地利用总体规划确定的用途的建筑物、构筑物重建、扩建的行政处罚</w:t>
            </w:r>
          </w:p>
        </w:tc>
        <w:tc>
          <w:tcPr>
            <w:tcW w:w="56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《中华人民共和国土地管理法实施条例》第三十六条</w:t>
            </w:r>
            <w:r>
              <w:rPr>
                <w:rFonts w:ascii="微软雅黑" w:eastAsia="仿宋" w:hAnsi="微软雅黑" w:cs="宋体" w:hint="eastAsia"/>
                <w:color w:val="333333"/>
                <w:kern w:val="0"/>
                <w:szCs w:val="21"/>
              </w:rPr>
              <w:t>  </w:t>
            </w:r>
            <w:r>
              <w:rPr>
                <w:rFonts w:ascii="仿宋" w:eastAsia="仿宋" w:hAnsi="仿宋" w:cs="宋体" w:hint="eastAsia"/>
                <w:color w:val="333333"/>
                <w:kern w:val="0"/>
                <w:szCs w:val="21"/>
              </w:rPr>
              <w:t>对在土地利用总体规划制定前已建的不符合土地利用总体规划确定的用途的建筑物、构筑物重建、扩建的，由县级以上人民政府土地行政主管部门责令限期拆除；逾期不拆除的，由</w:t>
            </w:r>
            <w:proofErr w:type="gramStart"/>
            <w:r>
              <w:rPr>
                <w:rFonts w:ascii="仿宋" w:eastAsia="仿宋" w:hAnsi="仿宋" w:cs="宋体" w:hint="eastAsia"/>
                <w:color w:val="333333"/>
                <w:kern w:val="0"/>
                <w:szCs w:val="21"/>
              </w:rPr>
              <w:t>作出</w:t>
            </w:r>
            <w:proofErr w:type="gramEnd"/>
            <w:r>
              <w:rPr>
                <w:rFonts w:ascii="仿宋" w:eastAsia="仿宋" w:hAnsi="仿宋" w:cs="宋体" w:hint="eastAsia"/>
                <w:color w:val="333333"/>
                <w:kern w:val="0"/>
                <w:szCs w:val="21"/>
              </w:rPr>
              <w:t>处罚决定的机关依法申请人民法院强制执行。</w:t>
            </w:r>
          </w:p>
        </w:tc>
        <w:tc>
          <w:tcPr>
            <w:tcW w:w="7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重大行政处罚</w:t>
            </w:r>
          </w:p>
        </w:tc>
        <w:tc>
          <w:tcPr>
            <w:tcW w:w="5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p>
        </w:tc>
      </w:tr>
      <w:tr w:rsidR="006639FC" w:rsidTr="00AB28C1">
        <w:trPr>
          <w:trHeight w:val="1995"/>
        </w:trPr>
        <w:tc>
          <w:tcPr>
            <w:tcW w:w="52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jc w:val="center"/>
              <w:rPr>
                <w:rFonts w:ascii="仿宋" w:eastAsia="仿宋" w:hAnsi="仿宋" w:cs="宋体"/>
                <w:color w:val="333333"/>
                <w:kern w:val="0"/>
                <w:szCs w:val="21"/>
              </w:rPr>
            </w:pPr>
            <w:r>
              <w:rPr>
                <w:rFonts w:ascii="仿宋" w:eastAsia="仿宋" w:hAnsi="仿宋" w:cs="宋体" w:hint="eastAsia"/>
                <w:color w:val="333333"/>
                <w:kern w:val="0"/>
                <w:szCs w:val="21"/>
              </w:rPr>
              <w:t>10</w:t>
            </w:r>
          </w:p>
        </w:tc>
        <w:tc>
          <w:tcPr>
            <w:tcW w:w="16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对未经批准擅自转让、出租、抵押划拨土地使用权行为的行政处罚</w:t>
            </w:r>
          </w:p>
        </w:tc>
        <w:tc>
          <w:tcPr>
            <w:tcW w:w="56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《中华人民共和国城市房地产管理法》第六十六条规定:本法第三十九条第一款的规定转让房地产的,由县级以上人民政府土地管理部门责令缴纳土地使用权出让金,没收违法所得,可以并处罚款。</w:t>
            </w:r>
            <w:r>
              <w:rPr>
                <w:rFonts w:ascii="仿宋" w:eastAsia="仿宋" w:hAnsi="仿宋" w:cs="宋体" w:hint="eastAsia"/>
                <w:color w:val="333333"/>
                <w:kern w:val="0"/>
                <w:szCs w:val="21"/>
              </w:rPr>
              <w:br/>
              <w:t>《城乡国有土地使用权出让和转让暂行条例》第四十六条　对未经批准擅自转让、出租、抵押划拨土地使用权的单位和个人，市、县人民政府土地管理部门应当没收其非法收入，并根据情节处以罚款。</w:t>
            </w:r>
          </w:p>
        </w:tc>
        <w:tc>
          <w:tcPr>
            <w:tcW w:w="7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重大行政处罚</w:t>
            </w:r>
          </w:p>
        </w:tc>
        <w:tc>
          <w:tcPr>
            <w:tcW w:w="5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p>
        </w:tc>
      </w:tr>
      <w:tr w:rsidR="006639FC" w:rsidTr="00AB28C1">
        <w:trPr>
          <w:trHeight w:val="4380"/>
        </w:trPr>
        <w:tc>
          <w:tcPr>
            <w:tcW w:w="52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jc w:val="center"/>
              <w:rPr>
                <w:rFonts w:ascii="仿宋" w:eastAsia="仿宋" w:hAnsi="仿宋" w:cs="宋体"/>
                <w:color w:val="333333"/>
                <w:kern w:val="0"/>
                <w:szCs w:val="21"/>
              </w:rPr>
            </w:pPr>
            <w:r>
              <w:rPr>
                <w:rFonts w:ascii="仿宋" w:eastAsia="仿宋" w:hAnsi="仿宋" w:cs="宋体" w:hint="eastAsia"/>
                <w:color w:val="333333"/>
                <w:kern w:val="0"/>
                <w:szCs w:val="21"/>
              </w:rPr>
              <w:t>11</w:t>
            </w:r>
          </w:p>
        </w:tc>
        <w:tc>
          <w:tcPr>
            <w:tcW w:w="16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对未取得采矿许可证擅自采矿的行政处罚</w:t>
            </w:r>
          </w:p>
        </w:tc>
        <w:tc>
          <w:tcPr>
            <w:tcW w:w="56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《中华人民共和国矿产资源法》第三十九条 违反本法规定，未取得采矿许可证擅自采矿的，擅自进入国家规划矿区、对国民经济具有重要价值的矿区范围采矿的，擅自开采国家规定实行保护性开采的特定矿种的，责令停止开采、赔偿损失，没收采出的矿产品和违法所得，可以并处罚款；拒不停止开采，造成矿产资源破坏的，依照刑法第一百五十六条的规定对直接责任人员追究刑事责任。</w:t>
            </w:r>
          </w:p>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单位和个人进入他人依法设立的国有矿山企业和其他矿山企业矿区范围内采矿的，依照前款规定处罚。</w:t>
            </w:r>
          </w:p>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《矿产资源法实施细则》第四十二条</w:t>
            </w:r>
            <w:r>
              <w:rPr>
                <w:rFonts w:ascii="微软雅黑" w:eastAsia="仿宋" w:hAnsi="微软雅黑" w:cs="宋体" w:hint="eastAsia"/>
                <w:color w:val="333333"/>
                <w:kern w:val="0"/>
                <w:szCs w:val="21"/>
              </w:rPr>
              <w:t>  </w:t>
            </w:r>
            <w:r>
              <w:rPr>
                <w:rFonts w:ascii="仿宋" w:eastAsia="仿宋" w:hAnsi="仿宋" w:cs="宋体" w:hint="eastAsia"/>
                <w:color w:val="333333"/>
                <w:kern w:val="0"/>
                <w:szCs w:val="21"/>
              </w:rPr>
              <w:t>依照《矿产资源法》第三十九条、第四十条、第四十二条、第四十三条、第四十四条规定处以罚款的，分别按照下列规定执行：</w:t>
            </w:r>
          </w:p>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w:t>
            </w:r>
            <w:proofErr w:type="gramStart"/>
            <w:r>
              <w:rPr>
                <w:rFonts w:ascii="仿宋" w:eastAsia="仿宋" w:hAnsi="仿宋" w:cs="宋体" w:hint="eastAsia"/>
                <w:color w:val="333333"/>
                <w:kern w:val="0"/>
                <w:szCs w:val="21"/>
              </w:rPr>
              <w:t>一</w:t>
            </w:r>
            <w:proofErr w:type="gramEnd"/>
            <w:r>
              <w:rPr>
                <w:rFonts w:ascii="仿宋" w:eastAsia="仿宋" w:hAnsi="仿宋" w:cs="宋体" w:hint="eastAsia"/>
                <w:color w:val="333333"/>
                <w:kern w:val="0"/>
                <w:szCs w:val="21"/>
              </w:rPr>
              <w:t>)未取得采矿许可证擅自采矿的，擅自进入国家规划矿区、对国民经济具有重要价值的矿区和他人矿区范围采矿的，擅自开采国家规定实行保护性开采的特定矿种的，处以违法所得50%以下的罚款；</w:t>
            </w:r>
          </w:p>
          <w:p w:rsidR="006639FC" w:rsidRDefault="006639FC" w:rsidP="00032894">
            <w:pPr>
              <w:widowControl/>
              <w:spacing w:line="400" w:lineRule="exact"/>
              <w:rPr>
                <w:rFonts w:ascii="仿宋" w:eastAsia="仿宋" w:hAnsi="仿宋" w:cs="宋体"/>
                <w:color w:val="333333"/>
                <w:kern w:val="0"/>
                <w:szCs w:val="21"/>
              </w:rPr>
            </w:pPr>
            <w:r>
              <w:rPr>
                <w:rFonts w:ascii="微软雅黑" w:eastAsia="仿宋" w:hAnsi="微软雅黑" w:cs="宋体" w:hint="eastAsia"/>
                <w:color w:val="333333"/>
                <w:kern w:val="0"/>
                <w:szCs w:val="21"/>
              </w:rPr>
              <w:t> </w:t>
            </w:r>
            <w:r>
              <w:rPr>
                <w:rFonts w:ascii="仿宋" w:eastAsia="仿宋" w:hAnsi="仿宋" w:cs="宋体" w:hint="eastAsia"/>
                <w:color w:val="333333"/>
                <w:kern w:val="0"/>
                <w:szCs w:val="21"/>
              </w:rPr>
              <w:t>(二)超越批准的矿区范围采矿的，处以违法所得30%以下的罚款；</w:t>
            </w:r>
          </w:p>
          <w:p w:rsidR="006639FC" w:rsidRDefault="006639FC" w:rsidP="00032894">
            <w:pPr>
              <w:widowControl/>
              <w:spacing w:line="400" w:lineRule="exact"/>
              <w:rPr>
                <w:rFonts w:ascii="仿宋" w:eastAsia="仿宋" w:hAnsi="仿宋" w:cs="宋体"/>
                <w:color w:val="333333"/>
                <w:kern w:val="0"/>
                <w:szCs w:val="21"/>
              </w:rPr>
            </w:pPr>
            <w:r>
              <w:rPr>
                <w:rFonts w:ascii="微软雅黑" w:eastAsia="仿宋" w:hAnsi="微软雅黑" w:cs="宋体" w:hint="eastAsia"/>
                <w:color w:val="333333"/>
                <w:kern w:val="0"/>
                <w:szCs w:val="21"/>
              </w:rPr>
              <w:t> </w:t>
            </w:r>
            <w:r>
              <w:rPr>
                <w:rFonts w:ascii="仿宋" w:eastAsia="仿宋" w:hAnsi="仿宋" w:cs="宋体" w:hint="eastAsia"/>
                <w:color w:val="333333"/>
                <w:kern w:val="0"/>
                <w:szCs w:val="21"/>
              </w:rPr>
              <w:t>(三)买卖、出租或者以其他形式转让矿产资源的，买卖、出租</w:t>
            </w:r>
            <w:r>
              <w:rPr>
                <w:rFonts w:ascii="仿宋" w:eastAsia="仿宋" w:hAnsi="仿宋" w:cs="宋体" w:hint="eastAsia"/>
                <w:color w:val="333333"/>
                <w:kern w:val="0"/>
                <w:szCs w:val="21"/>
              </w:rPr>
              <w:lastRenderedPageBreak/>
              <w:t>采矿权的，对卖方、出租方、出让方处以违法所得一倍以下的罚款；</w:t>
            </w:r>
          </w:p>
          <w:p w:rsidR="006639FC" w:rsidRDefault="006639FC" w:rsidP="00032894">
            <w:pPr>
              <w:widowControl/>
              <w:spacing w:line="400" w:lineRule="exact"/>
              <w:rPr>
                <w:rFonts w:ascii="仿宋" w:eastAsia="仿宋" w:hAnsi="仿宋" w:cs="宋体"/>
                <w:color w:val="333333"/>
                <w:kern w:val="0"/>
                <w:szCs w:val="21"/>
              </w:rPr>
            </w:pPr>
            <w:r>
              <w:rPr>
                <w:rFonts w:ascii="微软雅黑" w:eastAsia="仿宋" w:hAnsi="微软雅黑" w:cs="宋体" w:hint="eastAsia"/>
                <w:color w:val="333333"/>
                <w:kern w:val="0"/>
                <w:szCs w:val="21"/>
              </w:rPr>
              <w:t> </w:t>
            </w:r>
            <w:r>
              <w:rPr>
                <w:rFonts w:ascii="仿宋" w:eastAsia="仿宋" w:hAnsi="仿宋" w:cs="宋体" w:hint="eastAsia"/>
                <w:color w:val="333333"/>
                <w:kern w:val="0"/>
                <w:szCs w:val="21"/>
              </w:rPr>
              <w:t>(四)非法用采矿权作抵押的，处以5000元以下的罚款；</w:t>
            </w:r>
          </w:p>
          <w:p w:rsidR="006639FC" w:rsidRDefault="006639FC" w:rsidP="00032894">
            <w:pPr>
              <w:widowControl/>
              <w:spacing w:line="400" w:lineRule="exact"/>
              <w:rPr>
                <w:rFonts w:ascii="仿宋" w:eastAsia="仿宋" w:hAnsi="仿宋" w:cs="宋体"/>
                <w:color w:val="333333"/>
                <w:kern w:val="0"/>
                <w:szCs w:val="21"/>
              </w:rPr>
            </w:pPr>
            <w:r>
              <w:rPr>
                <w:rFonts w:ascii="微软雅黑" w:eastAsia="仿宋" w:hAnsi="微软雅黑" w:cs="宋体" w:hint="eastAsia"/>
                <w:color w:val="333333"/>
                <w:kern w:val="0"/>
                <w:szCs w:val="21"/>
              </w:rPr>
              <w:t>  </w:t>
            </w:r>
            <w:r>
              <w:rPr>
                <w:rFonts w:ascii="仿宋" w:eastAsia="仿宋" w:hAnsi="仿宋" w:cs="宋体" w:hint="eastAsia"/>
                <w:color w:val="333333"/>
                <w:kern w:val="0"/>
                <w:szCs w:val="21"/>
              </w:rPr>
              <w:t>(五)违反规定收购和销售国家规定统一收购的矿产品的，处以违法所得一倍以下的罚款；</w:t>
            </w:r>
          </w:p>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(六)采取破坏性的开采方法开采矿产资源，造成矿产资源严重破坏的，处以相当于矿产资源损失价值50%以下的罚款。</w:t>
            </w:r>
          </w:p>
        </w:tc>
        <w:tc>
          <w:tcPr>
            <w:tcW w:w="7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lastRenderedPageBreak/>
              <w:t>重大行政处罚</w:t>
            </w:r>
          </w:p>
        </w:tc>
        <w:tc>
          <w:tcPr>
            <w:tcW w:w="5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p>
        </w:tc>
      </w:tr>
      <w:tr w:rsidR="006639FC" w:rsidTr="00AB28C1">
        <w:trPr>
          <w:trHeight w:val="1185"/>
        </w:trPr>
        <w:tc>
          <w:tcPr>
            <w:tcW w:w="52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jc w:val="center"/>
              <w:rPr>
                <w:rFonts w:ascii="仿宋" w:eastAsia="仿宋" w:hAnsi="仿宋" w:cs="宋体"/>
                <w:color w:val="333333"/>
                <w:kern w:val="0"/>
                <w:szCs w:val="21"/>
              </w:rPr>
            </w:pPr>
            <w:r>
              <w:rPr>
                <w:rFonts w:ascii="仿宋" w:eastAsia="仿宋" w:hAnsi="仿宋" w:cs="宋体" w:hint="eastAsia"/>
                <w:color w:val="333333"/>
                <w:kern w:val="0"/>
                <w:szCs w:val="21"/>
              </w:rPr>
              <w:lastRenderedPageBreak/>
              <w:t>12</w:t>
            </w:r>
          </w:p>
        </w:tc>
        <w:tc>
          <w:tcPr>
            <w:tcW w:w="16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对超越批准的矿区范围采矿的行政处罚</w:t>
            </w:r>
          </w:p>
        </w:tc>
        <w:tc>
          <w:tcPr>
            <w:tcW w:w="56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《中华人民共和国矿产资源法》第四十条 超越批准的矿区范围采矿的，责令退回本矿区范围内开采、赔偿损失，没收越界开采的矿产品和违法所得，可以并处罚款；拒不退回本矿区范围内开采，造成矿产资源破坏的，吊销采矿许可证，依照刑法第一百五十六条的规定对直接责任人员追究刑事责任。</w:t>
            </w:r>
            <w:r>
              <w:rPr>
                <w:rFonts w:ascii="仿宋" w:eastAsia="仿宋" w:hAnsi="仿宋" w:cs="宋体" w:hint="eastAsia"/>
                <w:color w:val="333333"/>
                <w:kern w:val="0"/>
                <w:szCs w:val="21"/>
              </w:rPr>
              <w:br/>
              <w:t>《矿产资源法实施细则》第四十二条</w:t>
            </w:r>
            <w:r>
              <w:rPr>
                <w:rFonts w:ascii="微软雅黑" w:eastAsia="仿宋" w:hAnsi="微软雅黑" w:cs="宋体" w:hint="eastAsia"/>
                <w:color w:val="333333"/>
                <w:kern w:val="0"/>
                <w:szCs w:val="21"/>
              </w:rPr>
              <w:t>  </w:t>
            </w:r>
            <w:r>
              <w:rPr>
                <w:rFonts w:ascii="仿宋" w:eastAsia="仿宋" w:hAnsi="仿宋" w:cs="宋体" w:hint="eastAsia"/>
                <w:color w:val="333333"/>
                <w:kern w:val="0"/>
                <w:szCs w:val="21"/>
              </w:rPr>
              <w:t>依照《矿产资源法》第三十九条、第四十条、第四十二条、第四十三条、第四十四条规定处以罚款的，分别按照下列规定执行：</w:t>
            </w:r>
          </w:p>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w:t>
            </w:r>
            <w:proofErr w:type="gramStart"/>
            <w:r>
              <w:rPr>
                <w:rFonts w:ascii="仿宋" w:eastAsia="仿宋" w:hAnsi="仿宋" w:cs="宋体" w:hint="eastAsia"/>
                <w:color w:val="333333"/>
                <w:kern w:val="0"/>
                <w:szCs w:val="21"/>
              </w:rPr>
              <w:t>一</w:t>
            </w:r>
            <w:proofErr w:type="gramEnd"/>
            <w:r>
              <w:rPr>
                <w:rFonts w:ascii="仿宋" w:eastAsia="仿宋" w:hAnsi="仿宋" w:cs="宋体" w:hint="eastAsia"/>
                <w:color w:val="333333"/>
                <w:kern w:val="0"/>
                <w:szCs w:val="21"/>
              </w:rPr>
              <w:t>)未取得采矿许可证擅自采矿的，擅自进入国家规划矿区、对国民经济具有重要价值的矿区和他人矿区范围采矿的，擅自开采国家规定实行保护性开采的特定矿种的，处以违法所得50%以下的罚款；</w:t>
            </w:r>
          </w:p>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(二)超越批准的矿区范围采矿的，处以违法所得30%以下的罚款；</w:t>
            </w:r>
          </w:p>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(三)买卖、出租或者以其他形式转让矿产资源的，买卖、出租采矿权的，对卖方、出租方、出让方处以违法所得一倍以下的罚款；</w:t>
            </w:r>
          </w:p>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(四)非法用采矿权作抵押的，处以5000元以下的罚款；</w:t>
            </w:r>
          </w:p>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(五)违反规定收购和销售国家规定统一收购的矿产品的，处以违法所得一倍以下的罚款；</w:t>
            </w:r>
          </w:p>
          <w:p w:rsidR="006639FC" w:rsidRDefault="006639FC" w:rsidP="00032894">
            <w:pPr>
              <w:widowControl/>
              <w:spacing w:line="400" w:lineRule="exact"/>
              <w:rPr>
                <w:rFonts w:ascii="微软雅黑" w:eastAsia="仿宋" w:hAnsi="微软雅黑" w:cs="宋体"/>
                <w:color w:val="333333"/>
                <w:kern w:val="0"/>
                <w:szCs w:val="21"/>
              </w:rPr>
            </w:pPr>
            <w:r>
              <w:rPr>
                <w:rFonts w:ascii="仿宋" w:eastAsia="仿宋" w:hAnsi="仿宋" w:cs="宋体" w:hint="eastAsia"/>
                <w:color w:val="333333"/>
                <w:kern w:val="0"/>
                <w:szCs w:val="21"/>
              </w:rPr>
              <w:t>(六)采取破坏性的开采方法开采矿产资源，造成矿产资源严重破坏的，处以相当于矿产资源损失价值50%以下的罚款。</w:t>
            </w:r>
          </w:p>
        </w:tc>
        <w:tc>
          <w:tcPr>
            <w:tcW w:w="7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重大行政处罚</w:t>
            </w:r>
          </w:p>
        </w:tc>
        <w:tc>
          <w:tcPr>
            <w:tcW w:w="5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p>
        </w:tc>
      </w:tr>
      <w:tr w:rsidR="006639FC" w:rsidTr="00AB28C1">
        <w:trPr>
          <w:trHeight w:val="1500"/>
        </w:trPr>
        <w:tc>
          <w:tcPr>
            <w:tcW w:w="52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jc w:val="center"/>
              <w:rPr>
                <w:rFonts w:ascii="仿宋" w:eastAsia="仿宋" w:hAnsi="仿宋" w:cs="宋体"/>
                <w:color w:val="333333"/>
                <w:kern w:val="0"/>
                <w:szCs w:val="21"/>
              </w:rPr>
            </w:pPr>
            <w:r>
              <w:rPr>
                <w:rFonts w:ascii="仿宋" w:eastAsia="仿宋" w:hAnsi="仿宋" w:cs="宋体" w:hint="eastAsia"/>
                <w:color w:val="333333"/>
                <w:kern w:val="0"/>
                <w:szCs w:val="21"/>
              </w:rPr>
              <w:lastRenderedPageBreak/>
              <w:t>13</w:t>
            </w:r>
          </w:p>
        </w:tc>
        <w:tc>
          <w:tcPr>
            <w:tcW w:w="16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对破坏或擅自移动矿区范围界桩或地面标志的行政处罚</w:t>
            </w:r>
          </w:p>
        </w:tc>
        <w:tc>
          <w:tcPr>
            <w:tcW w:w="56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《矿产资源开采登记管理办法》第十九条 破坏或者擅自移动矿区范围界桩或者地面标志的，由县级以上人民政府负责地质矿产管理工作的部门按照国务院地质矿产主管部门规定的权限，责令限期恢复；情节严重的，处3万元以下的罚款。</w:t>
            </w:r>
          </w:p>
        </w:tc>
        <w:tc>
          <w:tcPr>
            <w:tcW w:w="7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重大行政处罚</w:t>
            </w:r>
          </w:p>
        </w:tc>
        <w:tc>
          <w:tcPr>
            <w:tcW w:w="5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p>
        </w:tc>
      </w:tr>
      <w:tr w:rsidR="006639FC" w:rsidTr="00AB28C1">
        <w:trPr>
          <w:trHeight w:val="1545"/>
        </w:trPr>
        <w:tc>
          <w:tcPr>
            <w:tcW w:w="52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jc w:val="center"/>
              <w:rPr>
                <w:rFonts w:ascii="仿宋" w:eastAsia="仿宋" w:hAnsi="仿宋" w:cs="宋体"/>
                <w:color w:val="333333"/>
                <w:kern w:val="0"/>
                <w:szCs w:val="21"/>
              </w:rPr>
            </w:pPr>
            <w:r>
              <w:rPr>
                <w:rFonts w:ascii="仿宋" w:eastAsia="仿宋" w:hAnsi="仿宋" w:cs="宋体" w:hint="eastAsia"/>
                <w:color w:val="333333"/>
                <w:kern w:val="0"/>
                <w:szCs w:val="21"/>
              </w:rPr>
              <w:t>14</w:t>
            </w:r>
          </w:p>
        </w:tc>
        <w:tc>
          <w:tcPr>
            <w:tcW w:w="16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对擅自印制或伪造采矿许可证的行政处罚</w:t>
            </w:r>
          </w:p>
        </w:tc>
        <w:tc>
          <w:tcPr>
            <w:tcW w:w="56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矿产资源开采登记管理办法》第二十条:“擅自印制或者伪造、冒用采矿许可证的，由县级以上人民政府负责地质矿产管理工作的部门按照国务院地质矿产主管部门规定的权限，没收违法所得，可以并处10万元以下的罚款；构成犯罪的，依法追究刑事责任”。</w:t>
            </w:r>
          </w:p>
        </w:tc>
        <w:tc>
          <w:tcPr>
            <w:tcW w:w="7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重大行政处罚</w:t>
            </w:r>
          </w:p>
        </w:tc>
        <w:tc>
          <w:tcPr>
            <w:tcW w:w="5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p>
        </w:tc>
      </w:tr>
      <w:tr w:rsidR="006639FC" w:rsidTr="00AB28C1">
        <w:trPr>
          <w:trHeight w:val="2145"/>
        </w:trPr>
        <w:tc>
          <w:tcPr>
            <w:tcW w:w="52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jc w:val="center"/>
              <w:rPr>
                <w:rFonts w:ascii="仿宋" w:eastAsia="仿宋" w:hAnsi="仿宋" w:cs="宋体"/>
                <w:color w:val="333333"/>
                <w:kern w:val="0"/>
                <w:szCs w:val="21"/>
              </w:rPr>
            </w:pPr>
            <w:r>
              <w:rPr>
                <w:rFonts w:ascii="仿宋" w:eastAsia="仿宋" w:hAnsi="仿宋" w:cs="宋体" w:hint="eastAsia"/>
                <w:color w:val="333333"/>
                <w:kern w:val="0"/>
                <w:szCs w:val="21"/>
              </w:rPr>
              <w:t>15</w:t>
            </w:r>
          </w:p>
        </w:tc>
        <w:tc>
          <w:tcPr>
            <w:tcW w:w="16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对采取破坏性开采方法采矿行为的行政处罚</w:t>
            </w:r>
          </w:p>
        </w:tc>
        <w:tc>
          <w:tcPr>
            <w:tcW w:w="56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《中华人民共和国矿产资源法》第四十四条 违反本法规定，采取破坏性的开采方法开采矿产资源的，处以罚款，可以吊销采矿许可证；造成矿产资源严重破坏的，依照刑法第一百五十六条的规定对直接责任人员追究刑事责任。</w:t>
            </w:r>
          </w:p>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《矿产资源法实施细则》第四十二条</w:t>
            </w:r>
            <w:r>
              <w:rPr>
                <w:rFonts w:ascii="微软雅黑" w:eastAsia="仿宋" w:hAnsi="微软雅黑" w:cs="宋体" w:hint="eastAsia"/>
                <w:color w:val="333333"/>
                <w:kern w:val="0"/>
                <w:szCs w:val="21"/>
              </w:rPr>
              <w:t>  </w:t>
            </w:r>
            <w:r>
              <w:rPr>
                <w:rFonts w:ascii="仿宋" w:eastAsia="仿宋" w:hAnsi="仿宋" w:cs="宋体" w:hint="eastAsia"/>
                <w:color w:val="333333"/>
                <w:kern w:val="0"/>
                <w:szCs w:val="21"/>
              </w:rPr>
              <w:t>依照《矿产资源法》第三十九条、第四十条、第四十二条、第四十三条、第四十四条规定处以罚款的，分别按照下列规定执行：</w:t>
            </w:r>
          </w:p>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w:t>
            </w:r>
            <w:proofErr w:type="gramStart"/>
            <w:r>
              <w:rPr>
                <w:rFonts w:ascii="仿宋" w:eastAsia="仿宋" w:hAnsi="仿宋" w:cs="宋体" w:hint="eastAsia"/>
                <w:color w:val="333333"/>
                <w:kern w:val="0"/>
                <w:szCs w:val="21"/>
              </w:rPr>
              <w:t>一</w:t>
            </w:r>
            <w:proofErr w:type="gramEnd"/>
            <w:r>
              <w:rPr>
                <w:rFonts w:ascii="仿宋" w:eastAsia="仿宋" w:hAnsi="仿宋" w:cs="宋体" w:hint="eastAsia"/>
                <w:color w:val="333333"/>
                <w:kern w:val="0"/>
                <w:szCs w:val="21"/>
              </w:rPr>
              <w:t>)未取得采矿许可证擅自采矿的，擅自进入国家规划矿区、对国民经济具有重要价值的矿区和他人矿区范围采矿的，擅自开采国家规定实行保护性开采的特定矿种的，处以违法所得50%以下的罚款；</w:t>
            </w:r>
          </w:p>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(二)超越批准的矿区范围采矿的，处以违法所得30%以下的罚款；</w:t>
            </w:r>
          </w:p>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(三)买卖、出租或者以其他形式转让矿产资源的，买卖、出租采矿权的，对卖方、出租方、出让方处以违法所得一倍以下的罚款；</w:t>
            </w:r>
          </w:p>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(四)非法用采矿权作抵押的，处以5000元以下的罚款；</w:t>
            </w:r>
          </w:p>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(五)违反规定收购和销售国家规定统一收购的矿产品的，处以违法所得一倍以下的罚款；</w:t>
            </w:r>
          </w:p>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(六)采取破坏性的开采方法开采矿产资源，造成矿产资源严重破坏的，处以相当于矿产资源损失价值50%以下的罚款。</w:t>
            </w:r>
          </w:p>
        </w:tc>
        <w:tc>
          <w:tcPr>
            <w:tcW w:w="7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重大行政处罚</w:t>
            </w:r>
          </w:p>
        </w:tc>
        <w:tc>
          <w:tcPr>
            <w:tcW w:w="5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p>
        </w:tc>
      </w:tr>
      <w:tr w:rsidR="006639FC" w:rsidTr="00AB28C1">
        <w:trPr>
          <w:trHeight w:val="1335"/>
        </w:trPr>
        <w:tc>
          <w:tcPr>
            <w:tcW w:w="52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jc w:val="center"/>
              <w:rPr>
                <w:rFonts w:ascii="仿宋" w:eastAsia="仿宋" w:hAnsi="仿宋" w:cs="宋体"/>
                <w:color w:val="333333"/>
                <w:kern w:val="0"/>
                <w:szCs w:val="21"/>
              </w:rPr>
            </w:pPr>
            <w:r>
              <w:rPr>
                <w:rFonts w:ascii="仿宋" w:eastAsia="仿宋" w:hAnsi="仿宋" w:cs="宋体" w:hint="eastAsia"/>
                <w:color w:val="333333"/>
                <w:kern w:val="0"/>
                <w:szCs w:val="21"/>
              </w:rPr>
              <w:t>16</w:t>
            </w:r>
          </w:p>
        </w:tc>
        <w:tc>
          <w:tcPr>
            <w:tcW w:w="16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对非法转让矿产资源（采矿权）的行政处罚</w:t>
            </w:r>
          </w:p>
        </w:tc>
        <w:tc>
          <w:tcPr>
            <w:tcW w:w="56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《中华人民共和国矿产资源法》第六条 除按下列规定可以转让外，探矿权、采矿权不得转让：(</w:t>
            </w:r>
            <w:proofErr w:type="gramStart"/>
            <w:r>
              <w:rPr>
                <w:rFonts w:ascii="仿宋" w:eastAsia="仿宋" w:hAnsi="仿宋" w:cs="宋体" w:hint="eastAsia"/>
                <w:color w:val="333333"/>
                <w:kern w:val="0"/>
                <w:szCs w:val="21"/>
              </w:rPr>
              <w:t>一</w:t>
            </w:r>
            <w:proofErr w:type="gramEnd"/>
            <w:r>
              <w:rPr>
                <w:rFonts w:ascii="仿宋" w:eastAsia="仿宋" w:hAnsi="仿宋" w:cs="宋体" w:hint="eastAsia"/>
                <w:color w:val="333333"/>
                <w:kern w:val="0"/>
                <w:szCs w:val="21"/>
              </w:rPr>
              <w:t>)探矿权人有权在划定的勘查作业区内进行规定的勘查作业，有权优先取得勘查作业区内矿产资源的采矿权。探矿权人在完成规定的最低勘查投入</w:t>
            </w:r>
            <w:r>
              <w:rPr>
                <w:rFonts w:ascii="仿宋" w:eastAsia="仿宋" w:hAnsi="仿宋" w:cs="宋体" w:hint="eastAsia"/>
                <w:color w:val="333333"/>
                <w:kern w:val="0"/>
                <w:szCs w:val="21"/>
              </w:rPr>
              <w:lastRenderedPageBreak/>
              <w:t>后，经依法批准，可以将探矿权转让他人。(二)已取得采矿权的矿山企业，因企业合并、分立，与他人合资、合作经营，或者因企业资产出售以及有其他变更企业资产产权的情形而需要变更采矿权主体的，经依法批准可以将采矿权转让他人采矿。</w:t>
            </w:r>
          </w:p>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前款规定的具体办法和实施步骤由国务院规定。</w:t>
            </w:r>
          </w:p>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禁止将探矿权、采矿权倒卖牟利。</w:t>
            </w:r>
          </w:p>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第四十二条 买卖、出租或者以其他形式转让矿产资源的，没收违法所得，处以罚款。违反本法第六条的规定将探矿权、采矿权倒卖牟利的，吊销勘查许可证、采矿许可证，没收违法所得，处以罚款。</w:t>
            </w:r>
            <w:r>
              <w:rPr>
                <w:rFonts w:ascii="仿宋" w:eastAsia="仿宋" w:hAnsi="仿宋" w:cs="宋体" w:hint="eastAsia"/>
                <w:color w:val="333333"/>
                <w:kern w:val="0"/>
                <w:szCs w:val="21"/>
              </w:rPr>
              <w:br/>
              <w:t>《矿产资源法实施细则》第四十二条依照《矿产资源法》第三十九条、第四十条、第四十二条、第四十三条、第四十四条规定处以罚款的，分别按照下列规定执行：</w:t>
            </w:r>
          </w:p>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t>(</w:t>
            </w:r>
            <w:proofErr w:type="gramStart"/>
            <w:r>
              <w:rPr>
                <w:rFonts w:ascii="仿宋" w:eastAsia="仿宋" w:hAnsi="仿宋" w:cs="宋体" w:hint="eastAsia"/>
                <w:color w:val="333333"/>
                <w:kern w:val="0"/>
                <w:szCs w:val="21"/>
              </w:rPr>
              <w:t>一</w:t>
            </w:r>
            <w:proofErr w:type="gramEnd"/>
            <w:r>
              <w:rPr>
                <w:rFonts w:ascii="仿宋" w:eastAsia="仿宋" w:hAnsi="仿宋" w:cs="宋体" w:hint="eastAsia"/>
                <w:color w:val="333333"/>
                <w:kern w:val="0"/>
                <w:szCs w:val="21"/>
              </w:rPr>
              <w:t>)未取得采矿许可证擅自采矿的，擅自进入国家规划矿区、对国民经济具有重要价值的矿区和他人矿区范围采矿的，擅自开采国家规定实行保护性开采的特定矿种的，处以违法所得50%以下的罚款； (二)超越批准的矿区范围采矿的，处以违法所得30%以下的罚款；(三)买卖、出租或者以其他形式转让矿产资源的，买卖、出租采矿权的，对卖方、出租方、出让方处以违法所得一倍以下的罚款。</w:t>
            </w:r>
          </w:p>
        </w:tc>
        <w:tc>
          <w:tcPr>
            <w:tcW w:w="7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r>
              <w:rPr>
                <w:rFonts w:ascii="仿宋" w:eastAsia="仿宋" w:hAnsi="仿宋" w:cs="宋体" w:hint="eastAsia"/>
                <w:color w:val="333333"/>
                <w:kern w:val="0"/>
                <w:szCs w:val="21"/>
              </w:rPr>
              <w:lastRenderedPageBreak/>
              <w:t>重大行政处罚</w:t>
            </w:r>
          </w:p>
        </w:tc>
        <w:tc>
          <w:tcPr>
            <w:tcW w:w="5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6639FC" w:rsidRDefault="006639FC" w:rsidP="00032894">
            <w:pPr>
              <w:widowControl/>
              <w:spacing w:line="400" w:lineRule="exact"/>
              <w:rPr>
                <w:rFonts w:ascii="仿宋" w:eastAsia="仿宋" w:hAnsi="仿宋" w:cs="宋体"/>
                <w:color w:val="333333"/>
                <w:kern w:val="0"/>
                <w:szCs w:val="21"/>
              </w:rPr>
            </w:pPr>
          </w:p>
        </w:tc>
      </w:tr>
    </w:tbl>
    <w:p w:rsidR="000C2068" w:rsidRDefault="00933F42" w:rsidP="006639FC">
      <w:bookmarkStart w:id="0" w:name="_GoBack"/>
      <w:bookmarkEnd w:id="0"/>
    </w:p>
    <w:sectPr w:rsidR="000C2068" w:rsidSect="00035A7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F42" w:rsidRDefault="00933F42" w:rsidP="00AB28C1">
      <w:r>
        <w:separator/>
      </w:r>
    </w:p>
  </w:endnote>
  <w:endnote w:type="continuationSeparator" w:id="0">
    <w:p w:rsidR="00933F42" w:rsidRDefault="00933F42" w:rsidP="00AB28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F42" w:rsidRDefault="00933F42" w:rsidP="00AB28C1">
      <w:r>
        <w:separator/>
      </w:r>
    </w:p>
  </w:footnote>
  <w:footnote w:type="continuationSeparator" w:id="0">
    <w:p w:rsidR="00933F42" w:rsidRDefault="00933F42" w:rsidP="00AB28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39FC"/>
    <w:rsid w:val="00035A72"/>
    <w:rsid w:val="0026332A"/>
    <w:rsid w:val="00567825"/>
    <w:rsid w:val="006639FC"/>
    <w:rsid w:val="00933F42"/>
    <w:rsid w:val="00AB28C1"/>
    <w:rsid w:val="00BE4D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9FC"/>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B28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B28C1"/>
    <w:rPr>
      <w:rFonts w:ascii="Calibri" w:eastAsia="宋体" w:hAnsi="Calibri" w:cs="Times New Roman"/>
      <w:sz w:val="18"/>
      <w:szCs w:val="18"/>
    </w:rPr>
  </w:style>
  <w:style w:type="paragraph" w:styleId="a4">
    <w:name w:val="footer"/>
    <w:basedOn w:val="a"/>
    <w:link w:val="Char0"/>
    <w:uiPriority w:val="99"/>
    <w:semiHidden/>
    <w:unhideWhenUsed/>
    <w:rsid w:val="00AB28C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B28C1"/>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703</Words>
  <Characters>4009</Characters>
  <Application>Microsoft Office Word</Application>
  <DocSecurity>0</DocSecurity>
  <Lines>33</Lines>
  <Paragraphs>9</Paragraphs>
  <ScaleCrop>false</ScaleCrop>
  <Company/>
  <LinksUpToDate>false</LinksUpToDate>
  <CharactersWithSpaces>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LWJ</dc:creator>
  <cp:keywords/>
  <dc:description/>
  <cp:lastModifiedBy>Users</cp:lastModifiedBy>
  <cp:revision>2</cp:revision>
  <dcterms:created xsi:type="dcterms:W3CDTF">2020-12-09T11:28:00Z</dcterms:created>
  <dcterms:modified xsi:type="dcterms:W3CDTF">2020-12-10T22:30:00Z</dcterms:modified>
</cp:coreProperties>
</file>