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sz w:val="28"/>
          <w:szCs w:val="28"/>
        </w:rPr>
      </w:pPr>
      <w:r>
        <w:rPr>
          <w:rFonts w:hint="eastAsia" w:asciiTheme="minorEastAsia" w:hAnsiTheme="minorEastAsia"/>
          <w:sz w:val="28"/>
          <w:szCs w:val="28"/>
        </w:rPr>
        <w:t>附件2</w:t>
      </w:r>
    </w:p>
    <w:tbl>
      <w:tblPr>
        <w:tblStyle w:val="4"/>
        <w:tblW w:w="14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2807"/>
        <w:gridCol w:w="10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trPr>
        <w:tc>
          <w:tcPr>
            <w:tcW w:w="14140" w:type="dxa"/>
            <w:gridSpan w:val="3"/>
            <w:tcBorders>
              <w:top w:val="nil"/>
              <w:left w:val="nil"/>
              <w:right w:val="nil"/>
            </w:tcBorders>
          </w:tcPr>
          <w:p>
            <w:pPr>
              <w:widowControl/>
              <w:jc w:val="center"/>
              <w:rPr>
                <w:rFonts w:hint="eastAsia" w:ascii="宋体" w:hAnsi="宋体" w:eastAsia="宋体" w:cs="宋体"/>
                <w:b/>
                <w:kern w:val="0"/>
                <w:sz w:val="44"/>
                <w:szCs w:val="44"/>
              </w:rPr>
            </w:pPr>
            <w:r>
              <w:rPr>
                <w:rFonts w:hint="eastAsia" w:ascii="宋体" w:hAnsi="宋体" w:eastAsia="宋体" w:cs="宋体"/>
                <w:b/>
                <w:kern w:val="0"/>
                <w:sz w:val="44"/>
                <w:szCs w:val="44"/>
              </w:rPr>
              <w:t>龙泉市</w:t>
            </w:r>
            <w:r>
              <w:rPr>
                <w:rFonts w:hint="eastAsia" w:ascii="宋体" w:hAnsi="宋体" w:eastAsia="宋体" w:cs="宋体"/>
                <w:b/>
                <w:kern w:val="0"/>
                <w:sz w:val="44"/>
                <w:szCs w:val="44"/>
                <w:lang w:eastAsia="zh-CN"/>
              </w:rPr>
              <w:t>科学技术</w:t>
            </w:r>
            <w:r>
              <w:rPr>
                <w:rFonts w:hint="eastAsia" w:ascii="宋体" w:hAnsi="宋体" w:eastAsia="宋体" w:cs="宋体"/>
                <w:b/>
                <w:kern w:val="0"/>
                <w:sz w:val="44"/>
                <w:szCs w:val="44"/>
              </w:rPr>
              <w:t>局行政执法依据目录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472"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序</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号</w:t>
            </w:r>
          </w:p>
        </w:tc>
        <w:tc>
          <w:tcPr>
            <w:tcW w:w="2807" w:type="dxa"/>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监管事项</w:t>
            </w:r>
          </w:p>
        </w:tc>
        <w:tc>
          <w:tcPr>
            <w:tcW w:w="10861" w:type="dxa"/>
            <w:shd w:val="clear" w:color="auto" w:fill="auto"/>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执法依据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4" w:hRule="atLeast"/>
        </w:trPr>
        <w:tc>
          <w:tcPr>
            <w:tcW w:w="472" w:type="dxa"/>
            <w:vAlign w:val="center"/>
          </w:tcPr>
          <w:p>
            <w:pPr>
              <w:pStyle w:val="9"/>
              <w:widowControl/>
              <w:numPr>
                <w:ilvl w:val="0"/>
                <w:numId w:val="0"/>
              </w:numPr>
              <w:ind w:leftChars="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w:t>
            </w:r>
          </w:p>
        </w:tc>
        <w:tc>
          <w:tcPr>
            <w:tcW w:w="2807" w:type="dxa"/>
            <w:shd w:val="clear" w:color="auto" w:fill="auto"/>
            <w:vAlign w:val="center"/>
          </w:tcPr>
          <w:p>
            <w:pPr>
              <w:widowControl/>
              <w:jc w:val="center"/>
              <w:rPr>
                <w:rFonts w:cs="宋体" w:asciiTheme="minorEastAsia" w:hAnsiTheme="minorEastAsia"/>
                <w:kern w:val="0"/>
                <w:szCs w:val="21"/>
              </w:rPr>
            </w:pPr>
            <w:r>
              <w:rPr>
                <w:rFonts w:ascii="Arial" w:hAnsi="Arial" w:eastAsia="宋体" w:cs="Arial"/>
                <w:i w:val="0"/>
                <w:caps w:val="0"/>
                <w:color w:val="5C5C5C"/>
                <w:spacing w:val="0"/>
                <w:sz w:val="21"/>
                <w:szCs w:val="21"/>
                <w:shd w:val="clear" w:fill="FFFFFF"/>
              </w:rPr>
              <w:t>对外国人来华工作的监管</w:t>
            </w:r>
          </w:p>
        </w:tc>
        <w:tc>
          <w:tcPr>
            <w:tcW w:w="10861" w:type="dxa"/>
            <w:shd w:val="clear" w:color="auto" w:fill="auto"/>
            <w:vAlign w:val="center"/>
          </w:tcPr>
          <w:p>
            <w:pPr>
              <w:widowControl/>
              <w:jc w:val="left"/>
              <w:rPr>
                <w:rFonts w:ascii="Arial" w:hAnsi="Arial" w:eastAsia="宋体" w:cs="Arial"/>
                <w:i w:val="0"/>
                <w:caps w:val="0"/>
                <w:color w:val="5C5C5C"/>
                <w:spacing w:val="0"/>
                <w:sz w:val="21"/>
                <w:szCs w:val="21"/>
                <w:shd w:val="clear" w:fill="FFFFFF"/>
              </w:rPr>
            </w:pPr>
            <w:r>
              <w:rPr>
                <w:rFonts w:ascii="宋体" w:hAnsi="宋体" w:eastAsia="宋体" w:cs="宋体"/>
                <w:sz w:val="24"/>
                <w:szCs w:val="24"/>
              </w:rPr>
              <w:br w:type="textWrapping"/>
            </w:r>
            <w:r>
              <w:rPr>
                <w:rFonts w:ascii="Arial" w:hAnsi="Arial" w:eastAsia="宋体" w:cs="Arial"/>
                <w:i w:val="0"/>
                <w:caps w:val="0"/>
                <w:color w:val="5C5C5C"/>
                <w:spacing w:val="0"/>
                <w:sz w:val="21"/>
                <w:szCs w:val="21"/>
                <w:shd w:val="clear" w:fill="FFFFFF"/>
              </w:rPr>
              <w:t>1、《</w:t>
            </w:r>
            <w:r>
              <w:rPr>
                <w:rFonts w:hint="eastAsia" w:ascii="Arial" w:hAnsi="Arial" w:eastAsia="宋体" w:cs="Arial"/>
                <w:i w:val="0"/>
                <w:caps w:val="0"/>
                <w:color w:val="5C5C5C"/>
                <w:spacing w:val="0"/>
                <w:sz w:val="21"/>
                <w:szCs w:val="21"/>
                <w:shd w:val="clear" w:fill="FFFFFF"/>
              </w:rPr>
              <w:t>中华人民共和国出境入境管理法</w:t>
            </w:r>
            <w:bookmarkStart w:id="0" w:name="_GoBack"/>
            <w:bookmarkEnd w:id="0"/>
            <w:r>
              <w:rPr>
                <w:rFonts w:ascii="Arial" w:hAnsi="Arial" w:eastAsia="宋体" w:cs="Arial"/>
                <w:i w:val="0"/>
                <w:caps w:val="0"/>
                <w:color w:val="5C5C5C"/>
                <w:spacing w:val="0"/>
                <w:sz w:val="21"/>
                <w:szCs w:val="21"/>
                <w:shd w:val="clear" w:fill="FFFFFF"/>
              </w:rPr>
              <w:t xml:space="preserve">》第四十一条第一款：“外国人在中国境内工作，应当按照规定取得工作许可和工作类居留证件。任何单位和个人不得聘用未取得工作许可和工作类居留许可的外国人”。 </w:t>
            </w:r>
          </w:p>
          <w:p>
            <w:pPr>
              <w:widowControl/>
              <w:numPr>
                <w:ilvl w:val="0"/>
                <w:numId w:val="1"/>
              </w:numPr>
              <w:jc w:val="left"/>
              <w:rPr>
                <w:rFonts w:ascii="Arial" w:hAnsi="Arial" w:eastAsia="宋体" w:cs="Arial"/>
                <w:i w:val="0"/>
                <w:caps w:val="0"/>
                <w:color w:val="5C5C5C"/>
                <w:spacing w:val="0"/>
                <w:sz w:val="21"/>
                <w:szCs w:val="21"/>
                <w:shd w:val="clear" w:fill="FFFFFF"/>
              </w:rPr>
            </w:pPr>
            <w:r>
              <w:rPr>
                <w:rFonts w:ascii="Arial" w:hAnsi="Arial" w:eastAsia="宋体" w:cs="Arial"/>
                <w:i w:val="0"/>
                <w:caps w:val="0"/>
                <w:color w:val="5C5C5C"/>
                <w:spacing w:val="0"/>
                <w:sz w:val="21"/>
                <w:szCs w:val="21"/>
                <w:shd w:val="clear" w:fill="FFFFFF"/>
              </w:rPr>
              <w:t>《</w:t>
            </w:r>
            <w:r>
              <w:rPr>
                <w:rFonts w:hint="eastAsia" w:ascii="Arial" w:hAnsi="Arial" w:eastAsia="宋体" w:cs="Arial"/>
                <w:i w:val="0"/>
                <w:caps w:val="0"/>
                <w:color w:val="5C5C5C"/>
                <w:spacing w:val="0"/>
                <w:sz w:val="21"/>
                <w:szCs w:val="21"/>
                <w:shd w:val="clear" w:fill="FFFFFF"/>
              </w:rPr>
              <w:t>中华人民共和国出境入境管理法</w:t>
            </w:r>
            <w:r>
              <w:rPr>
                <w:rFonts w:ascii="Arial" w:hAnsi="Arial" w:eastAsia="宋体" w:cs="Arial"/>
                <w:i w:val="0"/>
                <w:caps w:val="0"/>
                <w:color w:val="5C5C5C"/>
                <w:spacing w:val="0"/>
                <w:sz w:val="21"/>
                <w:szCs w:val="21"/>
                <w:shd w:val="clear" w:fill="FFFFFF"/>
              </w:rPr>
              <w:t xml:space="preserve">》第四十三条第二款：“外国人有下列情形之一的，属于非法就业：（二）超出工作许可限定范围，在中国境内工作的”。 </w:t>
            </w:r>
          </w:p>
          <w:p>
            <w:pPr>
              <w:widowControl/>
              <w:numPr>
                <w:ilvl w:val="0"/>
                <w:numId w:val="0"/>
              </w:numPr>
              <w:jc w:val="left"/>
              <w:rPr>
                <w:rFonts w:cs="宋体" w:asciiTheme="minorEastAsia" w:hAnsiTheme="minorEastAsia" w:eastAsiaTheme="minorEastAsia"/>
                <w:kern w:val="0"/>
                <w:sz w:val="21"/>
                <w:szCs w:val="21"/>
                <w:lang w:val="en-US" w:eastAsia="zh-CN" w:bidi="ar-SA"/>
              </w:rPr>
            </w:pPr>
            <w:r>
              <w:rPr>
                <w:rFonts w:ascii="Arial" w:hAnsi="Arial" w:eastAsia="宋体" w:cs="Arial"/>
                <w:i w:val="0"/>
                <w:caps w:val="0"/>
                <w:color w:val="5C5C5C"/>
                <w:spacing w:val="0"/>
                <w:sz w:val="21"/>
                <w:szCs w:val="21"/>
                <w:shd w:val="clear" w:fill="FFFFFF"/>
              </w:rPr>
              <w:t>3、《中华人民共和国行政许可法》第六十九条：“被许可人以欺骗、贿赂等不正当手段取得行政许可的，应当予以撤销。”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trPr>
        <w:tc>
          <w:tcPr>
            <w:tcW w:w="472" w:type="dxa"/>
            <w:vAlign w:val="center"/>
          </w:tcPr>
          <w:p>
            <w:pPr>
              <w:pStyle w:val="9"/>
              <w:widowControl/>
              <w:numPr>
                <w:ilvl w:val="0"/>
                <w:numId w:val="0"/>
              </w:numPr>
              <w:spacing w:after="240"/>
              <w:ind w:leftChars="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w:t>
            </w:r>
          </w:p>
        </w:tc>
        <w:tc>
          <w:tcPr>
            <w:tcW w:w="2807" w:type="dxa"/>
            <w:shd w:val="clear" w:color="auto" w:fill="auto"/>
            <w:vAlign w:val="center"/>
          </w:tcPr>
          <w:p>
            <w:pPr>
              <w:widowControl/>
              <w:spacing w:before="100" w:beforeAutospacing="1" w:after="100" w:afterAutospacing="1" w:line="480" w:lineRule="exact"/>
              <w:jc w:val="center"/>
              <w:rPr>
                <w:rFonts w:cs="宋体" w:asciiTheme="minorEastAsia" w:hAnsiTheme="minorEastAsia"/>
                <w:kern w:val="0"/>
                <w:szCs w:val="21"/>
              </w:rPr>
            </w:pPr>
            <w:r>
              <w:rPr>
                <w:rFonts w:ascii="Arial" w:hAnsi="Arial" w:eastAsia="宋体" w:cs="Arial"/>
                <w:i w:val="0"/>
                <w:caps w:val="0"/>
                <w:color w:val="5C5C5C"/>
                <w:spacing w:val="0"/>
                <w:sz w:val="21"/>
                <w:szCs w:val="21"/>
                <w:shd w:val="clear" w:fill="FFFFFF"/>
              </w:rPr>
              <w:t>对未按照要求增建抗干扰设施或者新建地震监测设施行为的监管</w:t>
            </w:r>
          </w:p>
        </w:tc>
        <w:tc>
          <w:tcPr>
            <w:tcW w:w="10861" w:type="dxa"/>
            <w:shd w:val="clear" w:color="auto" w:fill="auto"/>
            <w:vAlign w:val="center"/>
          </w:tcPr>
          <w:p>
            <w:pPr>
              <w:widowControl/>
              <w:numPr>
                <w:ilvl w:val="0"/>
                <w:numId w:val="2"/>
              </w:numPr>
              <w:jc w:val="left"/>
              <w:rPr>
                <w:rFonts w:ascii="Arial" w:hAnsi="Arial" w:eastAsia="宋体" w:cs="Arial"/>
                <w:i w:val="0"/>
                <w:caps w:val="0"/>
                <w:color w:val="5C5C5C"/>
                <w:spacing w:val="0"/>
                <w:sz w:val="21"/>
                <w:szCs w:val="21"/>
                <w:shd w:val="clear" w:fill="FFFFFF"/>
              </w:rPr>
            </w:pPr>
            <w:r>
              <w:rPr>
                <w:rFonts w:ascii="Arial" w:hAnsi="Arial" w:eastAsia="宋体" w:cs="Arial"/>
                <w:i w:val="0"/>
                <w:caps w:val="0"/>
                <w:color w:val="5C5C5C"/>
                <w:spacing w:val="0"/>
                <w:sz w:val="21"/>
                <w:szCs w:val="21"/>
                <w:shd w:val="clear" w:fill="FFFFFF"/>
              </w:rPr>
              <w:t>《中华人民共和国防震减灾法》第八十五条：“违反本法规定，未按照要求增建抗干扰设施或者新建地震监测设施的，由国务院地震工作主管部门或者县级以上地方人民政府负责管理地震工作的部门或者机构责令限期改正；逾期不改正的，处二万元以上二十万元以下的罚款；造成损失的，依法承担赔偿责任。”</w:t>
            </w:r>
          </w:p>
          <w:p>
            <w:pPr>
              <w:widowControl/>
              <w:numPr>
                <w:ilvl w:val="0"/>
                <w:numId w:val="0"/>
              </w:numPr>
              <w:jc w:val="left"/>
              <w:rPr>
                <w:rFonts w:ascii="Arial" w:hAnsi="Arial" w:eastAsia="宋体" w:cs="Arial"/>
                <w:i w:val="0"/>
                <w:caps w:val="0"/>
                <w:color w:val="5C5C5C"/>
                <w:spacing w:val="0"/>
                <w:sz w:val="21"/>
                <w:szCs w:val="21"/>
                <w:shd w:val="clear" w:fill="FFFFFF"/>
              </w:rPr>
            </w:pPr>
            <w:r>
              <w:rPr>
                <w:rFonts w:ascii="Arial" w:hAnsi="Arial" w:eastAsia="宋体" w:cs="Arial"/>
                <w:i w:val="0"/>
                <w:caps w:val="0"/>
                <w:color w:val="5C5C5C"/>
                <w:spacing w:val="0"/>
                <w:sz w:val="21"/>
                <w:szCs w:val="21"/>
                <w:shd w:val="clear" w:fill="FFFFFF"/>
              </w:rPr>
              <w:t>2、《地震监测管理条例》第三十七条：“违反本条例的规定，建设单位从事建设活动时，未按照要求增建抗干扰设施或者新建地震监测设施，对地震监测设施或者地震观测环境造成破坏的，由国务院地震工作主管部门或者县级以上地方人民政府负责管理地震工作的部门或者机构责令改正，限期恢复原状或者采取相应的补救措施；情节严重的，依照《中华人民共和国防震减灾法》第四十三条的规定处以罚款；构成犯罪的，依法追究刑事责任；造成损失的，依法承担赔偿责任。”</w:t>
            </w:r>
          </w:p>
          <w:p>
            <w:pPr>
              <w:widowControl/>
              <w:jc w:val="left"/>
              <w:rPr>
                <w:rFonts w:ascii="Arial" w:hAnsi="Arial" w:eastAsia="宋体" w:cs="Arial"/>
                <w:i w:val="0"/>
                <w:caps w:val="0"/>
                <w:color w:val="5C5C5C"/>
                <w:spacing w:val="0"/>
                <w:sz w:val="21"/>
                <w:szCs w:val="21"/>
                <w:shd w:val="clear" w:fill="FFFFFF"/>
                <w:lang w:val="en-US" w:eastAsia="zh-CN"/>
              </w:rPr>
            </w:pPr>
            <w:r>
              <w:rPr>
                <w:rFonts w:hint="eastAsia" w:ascii="Arial" w:hAnsi="Arial" w:eastAsia="宋体" w:cs="Arial"/>
                <w:i w:val="0"/>
                <w:caps w:val="0"/>
                <w:color w:val="5C5C5C"/>
                <w:spacing w:val="0"/>
                <w:sz w:val="21"/>
                <w:szCs w:val="21"/>
                <w:shd w:val="clear" w:fill="FFFFFF"/>
                <w:lang w:val="en-US" w:eastAsia="zh-CN"/>
              </w:rPr>
              <w:t>3、</w:t>
            </w:r>
            <w:r>
              <w:rPr>
                <w:rFonts w:ascii="Arial" w:hAnsi="Arial" w:eastAsia="宋体" w:cs="Arial"/>
                <w:i w:val="0"/>
                <w:caps w:val="0"/>
                <w:color w:val="5C5C5C"/>
                <w:spacing w:val="0"/>
                <w:sz w:val="21"/>
                <w:szCs w:val="21"/>
                <w:shd w:val="clear" w:fill="FFFFFF"/>
              </w:rPr>
              <w:t>《地震监测管理条例》第五条：“国务院地震工作主管部门负责全国地震监测的监督管理工作。县级以上地方人民政府负责管理地震工作的部门或者机构，负责本行政区域内地震监测的监督管理工作。”《中华人民共和国防震减灾法》、《地震监测管理条例》已设定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3" w:hRule="atLeast"/>
        </w:trPr>
        <w:tc>
          <w:tcPr>
            <w:tcW w:w="472" w:type="dxa"/>
            <w:tcBorders>
              <w:top w:val="single" w:color="auto" w:sz="4" w:space="0"/>
              <w:left w:val="single" w:color="auto" w:sz="4" w:space="0"/>
              <w:bottom w:val="single" w:color="auto" w:sz="4" w:space="0"/>
              <w:right w:val="single" w:color="auto" w:sz="4" w:space="0"/>
            </w:tcBorders>
            <w:vAlign w:val="center"/>
          </w:tcPr>
          <w:p>
            <w:pPr>
              <w:pStyle w:val="9"/>
              <w:widowControl/>
              <w:numPr>
                <w:ilvl w:val="0"/>
                <w:numId w:val="0"/>
              </w:numPr>
              <w:ind w:leftChars="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3</w:t>
            </w:r>
          </w:p>
        </w:tc>
        <w:tc>
          <w:tcPr>
            <w:tcW w:w="28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ascii="Arial" w:hAnsi="Arial" w:eastAsia="宋体" w:cs="Arial"/>
                <w:i w:val="0"/>
                <w:caps w:val="0"/>
                <w:color w:val="5C5C5C"/>
                <w:spacing w:val="0"/>
                <w:sz w:val="21"/>
                <w:szCs w:val="21"/>
                <w:shd w:val="clear" w:fill="FFFFFF"/>
              </w:rPr>
              <w:t>地震安全性评估报告结果应用的监管</w:t>
            </w:r>
          </w:p>
        </w:tc>
        <w:tc>
          <w:tcPr>
            <w:tcW w:w="108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3"/>
              </w:numPr>
              <w:jc w:val="left"/>
              <w:rPr>
                <w:rFonts w:ascii="Arial" w:hAnsi="Arial" w:eastAsia="宋体" w:cs="Arial"/>
                <w:i w:val="0"/>
                <w:caps w:val="0"/>
                <w:color w:val="5C5C5C"/>
                <w:spacing w:val="0"/>
                <w:sz w:val="21"/>
                <w:szCs w:val="21"/>
                <w:shd w:val="clear" w:fill="FFFFFF"/>
              </w:rPr>
            </w:pPr>
            <w:r>
              <w:rPr>
                <w:rFonts w:ascii="Arial" w:hAnsi="Arial" w:eastAsia="宋体" w:cs="Arial"/>
                <w:i w:val="0"/>
                <w:caps w:val="0"/>
                <w:color w:val="5C5C5C"/>
                <w:spacing w:val="0"/>
                <w:sz w:val="21"/>
                <w:szCs w:val="21"/>
                <w:shd w:val="clear" w:fill="FFFFFF"/>
              </w:rPr>
              <w:t>《中华人民共和国防震减灾法》第七十六条：“县级以上人民政府建设、交通、铁路、水利、电力、地震等有关部门应当按照职责分工，加强对工程建设强制性标准、抗震设防要求执行情况和地震安全性评价工作的监督检查。”</w:t>
            </w:r>
          </w:p>
          <w:p>
            <w:pPr>
              <w:widowControl/>
              <w:numPr>
                <w:ilvl w:val="0"/>
                <w:numId w:val="3"/>
              </w:numPr>
              <w:ind w:left="0" w:leftChars="0" w:firstLine="0" w:firstLineChars="0"/>
              <w:jc w:val="left"/>
              <w:rPr>
                <w:rFonts w:ascii="Arial" w:hAnsi="Arial" w:eastAsia="宋体" w:cs="Arial"/>
                <w:i w:val="0"/>
                <w:caps w:val="0"/>
                <w:color w:val="5C5C5C"/>
                <w:spacing w:val="0"/>
                <w:sz w:val="21"/>
                <w:szCs w:val="21"/>
                <w:shd w:val="clear" w:fill="FFFFFF"/>
              </w:rPr>
            </w:pPr>
            <w:r>
              <w:rPr>
                <w:rFonts w:ascii="Arial" w:hAnsi="Arial" w:eastAsia="宋体" w:cs="Arial"/>
                <w:i w:val="0"/>
                <w:caps w:val="0"/>
                <w:color w:val="5C5C5C"/>
                <w:spacing w:val="0"/>
                <w:sz w:val="21"/>
                <w:szCs w:val="21"/>
                <w:shd w:val="clear" w:fill="FFFFFF"/>
              </w:rPr>
              <w:t>《中华人民共和国防震减灾法》第八十七条：“未依法进行地震安全性评价，或者未按照地震安全性评价报告所确定的抗震设防要求进行抗震设防的，由国务院地震工作主管部门或者县级以上地方人民政府负责管理地震工作的部门或者机构责令限期改正；逾期不改正的，处三万元以上三十万元以下的罚款。”</w:t>
            </w:r>
          </w:p>
          <w:p>
            <w:pPr>
              <w:widowControl/>
              <w:numPr>
                <w:ilvl w:val="0"/>
                <w:numId w:val="3"/>
              </w:numPr>
              <w:ind w:left="0" w:leftChars="0" w:firstLine="0" w:firstLineChars="0"/>
              <w:jc w:val="left"/>
              <w:rPr>
                <w:rFonts w:ascii="Arial" w:hAnsi="Arial" w:eastAsia="宋体" w:cs="Arial"/>
                <w:i w:val="0"/>
                <w:caps w:val="0"/>
                <w:color w:val="5C5C5C"/>
                <w:spacing w:val="0"/>
                <w:sz w:val="21"/>
                <w:szCs w:val="21"/>
                <w:shd w:val="clear" w:fill="FFFFFF"/>
              </w:rPr>
            </w:pPr>
            <w:r>
              <w:rPr>
                <w:rFonts w:ascii="Arial" w:hAnsi="Arial" w:eastAsia="宋体" w:cs="Arial"/>
                <w:i w:val="0"/>
                <w:caps w:val="0"/>
                <w:color w:val="5C5C5C"/>
                <w:spacing w:val="0"/>
                <w:sz w:val="21"/>
                <w:szCs w:val="21"/>
                <w:shd w:val="clear" w:fill="FFFFFF"/>
              </w:rPr>
              <w:t>《地震安全性评价管理条例》（2019年修正版）第十六条：“国务院地震工作主管部门和县级以上地方人民政府负责管理地震工作的部门或者机构，应当会同有关专业主管部门，加强对地震安全性评价工作的监督检查。”</w:t>
            </w:r>
          </w:p>
          <w:p>
            <w:pPr>
              <w:widowControl/>
              <w:numPr>
                <w:ilvl w:val="0"/>
                <w:numId w:val="3"/>
              </w:numPr>
              <w:ind w:left="0" w:leftChars="0" w:firstLine="0" w:firstLineChars="0"/>
              <w:jc w:val="left"/>
              <w:rPr>
                <w:rFonts w:ascii="Arial" w:hAnsi="Arial" w:eastAsia="宋体" w:cs="Arial"/>
                <w:i w:val="0"/>
                <w:caps w:val="0"/>
                <w:color w:val="5C5C5C"/>
                <w:spacing w:val="0"/>
                <w:sz w:val="21"/>
                <w:szCs w:val="21"/>
                <w:shd w:val="clear" w:fill="FFFFFF"/>
              </w:rPr>
            </w:pPr>
            <w:r>
              <w:rPr>
                <w:rFonts w:ascii="Arial" w:hAnsi="Arial" w:eastAsia="宋体" w:cs="Arial"/>
                <w:i w:val="0"/>
                <w:caps w:val="0"/>
                <w:color w:val="5C5C5C"/>
                <w:spacing w:val="0"/>
                <w:sz w:val="21"/>
                <w:szCs w:val="21"/>
                <w:shd w:val="clear" w:fill="FFFFFF"/>
              </w:rPr>
              <w:t>关于印发《地震安全性评价管理办法（暂行）》的通知（中震防发〔2017〕10号）第二十三条：“国务院地震工作主管部门和县级以上地方人民政府负责管理地震工作的部门或者机构，应当会同本级人民政府有关部门，加强对建设单位、评价单位或者机构和技术审查机构的监督检查，建立地震安全性评价工作的诚信体系，并及时公开信用信息。”</w:t>
            </w:r>
          </w:p>
          <w:p>
            <w:pPr>
              <w:widowControl/>
              <w:numPr>
                <w:ilvl w:val="0"/>
                <w:numId w:val="3"/>
              </w:numPr>
              <w:ind w:left="0" w:leftChars="0" w:firstLine="0" w:firstLineChars="0"/>
              <w:jc w:val="left"/>
              <w:rPr>
                <w:rFonts w:hint="eastAsia" w:ascii="Arial" w:hAnsi="Arial" w:eastAsia="宋体" w:cs="Arial"/>
                <w:i w:val="0"/>
                <w:caps w:val="0"/>
                <w:color w:val="5C5C5C"/>
                <w:spacing w:val="0"/>
                <w:sz w:val="21"/>
                <w:szCs w:val="21"/>
                <w:shd w:val="clear" w:fill="FFFFFF"/>
                <w:lang w:val="en-US" w:eastAsia="zh-CN"/>
              </w:rPr>
            </w:pPr>
            <w:r>
              <w:rPr>
                <w:rFonts w:ascii="Arial" w:hAnsi="Arial" w:eastAsia="宋体" w:cs="Arial"/>
                <w:i w:val="0"/>
                <w:caps w:val="0"/>
                <w:color w:val="5C5C5C"/>
                <w:spacing w:val="0"/>
                <w:sz w:val="21"/>
                <w:szCs w:val="21"/>
                <w:shd w:val="clear" w:fill="FFFFFF"/>
              </w:rPr>
              <w:t>《中华人民共和国防震减灾法》第八十七条：“未依法进行地震安全性评价，或者未按照地震安全性评价报告所确定的抗震设防要求进行抗震设防的，由国务院地震工作主管部门或者县级以上地方人民政府负责管理地震工作的部门或者机构责令限期改正；逾期不改正的，处三万元以上三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atLeast"/>
        </w:trPr>
        <w:tc>
          <w:tcPr>
            <w:tcW w:w="472" w:type="dxa"/>
            <w:vAlign w:val="center"/>
          </w:tcPr>
          <w:p>
            <w:pPr>
              <w:pStyle w:val="9"/>
              <w:widowControl/>
              <w:numPr>
                <w:ilvl w:val="0"/>
                <w:numId w:val="0"/>
              </w:numPr>
              <w:ind w:leftChars="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4</w:t>
            </w:r>
          </w:p>
        </w:tc>
        <w:tc>
          <w:tcPr>
            <w:tcW w:w="2807" w:type="dxa"/>
            <w:shd w:val="clear" w:color="auto" w:fill="auto"/>
            <w:vAlign w:val="center"/>
          </w:tcPr>
          <w:p>
            <w:pPr>
              <w:widowControl/>
              <w:jc w:val="center"/>
              <w:rPr>
                <w:rFonts w:cs="宋体" w:asciiTheme="minorEastAsia" w:hAnsiTheme="minorEastAsia"/>
                <w:b/>
                <w:bCs/>
                <w:kern w:val="0"/>
                <w:szCs w:val="21"/>
              </w:rPr>
            </w:pPr>
            <w:r>
              <w:rPr>
                <w:rFonts w:ascii="Arial" w:hAnsi="Arial" w:eastAsia="宋体" w:cs="Arial"/>
                <w:i w:val="0"/>
                <w:caps w:val="0"/>
                <w:color w:val="5C5C5C"/>
                <w:spacing w:val="0"/>
                <w:sz w:val="21"/>
                <w:szCs w:val="21"/>
                <w:shd w:val="clear" w:fill="FFFFFF"/>
              </w:rPr>
              <w:t>地震安全性评估单位监管</w:t>
            </w:r>
          </w:p>
        </w:tc>
        <w:tc>
          <w:tcPr>
            <w:tcW w:w="10861" w:type="dxa"/>
            <w:shd w:val="clear" w:color="auto" w:fill="auto"/>
            <w:vAlign w:val="center"/>
          </w:tcPr>
          <w:p>
            <w:pPr>
              <w:widowControl/>
              <w:numPr>
                <w:ilvl w:val="0"/>
                <w:numId w:val="4"/>
              </w:numPr>
              <w:jc w:val="left"/>
              <w:rPr>
                <w:rFonts w:ascii="Arial" w:hAnsi="Arial" w:eastAsia="宋体" w:cs="Arial"/>
                <w:i w:val="0"/>
                <w:caps w:val="0"/>
                <w:color w:val="5C5C5C"/>
                <w:spacing w:val="0"/>
                <w:sz w:val="21"/>
                <w:szCs w:val="21"/>
                <w:shd w:val="clear" w:fill="FFFFFF"/>
              </w:rPr>
            </w:pPr>
            <w:r>
              <w:rPr>
                <w:rFonts w:ascii="Arial" w:hAnsi="Arial" w:eastAsia="宋体" w:cs="Arial"/>
                <w:i w:val="0"/>
                <w:caps w:val="0"/>
                <w:color w:val="5C5C5C"/>
                <w:spacing w:val="0"/>
                <w:sz w:val="21"/>
                <w:szCs w:val="21"/>
                <w:shd w:val="clear" w:fill="FFFFFF"/>
              </w:rPr>
              <w:t>《中华人民共和国防震减灾法》第七十六条：“县级以上人民政府建设、交通、铁路、水利、电力、地震等有关部门应当按照职责分工，加强对工程建设强制性标准、抗震设防要求执行情况和地震安全性评价工作的监督检查。”</w:t>
            </w:r>
          </w:p>
          <w:p>
            <w:pPr>
              <w:widowControl/>
              <w:numPr>
                <w:ilvl w:val="0"/>
                <w:numId w:val="4"/>
              </w:numPr>
              <w:ind w:left="0" w:leftChars="0" w:firstLine="0" w:firstLineChars="0"/>
              <w:jc w:val="left"/>
              <w:rPr>
                <w:rFonts w:ascii="Arial" w:hAnsi="Arial" w:eastAsia="宋体" w:cs="Arial"/>
                <w:i w:val="0"/>
                <w:caps w:val="0"/>
                <w:color w:val="5C5C5C"/>
                <w:spacing w:val="0"/>
                <w:sz w:val="21"/>
                <w:szCs w:val="21"/>
                <w:shd w:val="clear" w:fill="FFFFFF"/>
              </w:rPr>
            </w:pPr>
            <w:r>
              <w:rPr>
                <w:rFonts w:ascii="Arial" w:hAnsi="Arial" w:eastAsia="宋体" w:cs="Arial"/>
                <w:i w:val="0"/>
                <w:caps w:val="0"/>
                <w:color w:val="5C5C5C"/>
                <w:spacing w:val="0"/>
                <w:sz w:val="21"/>
                <w:szCs w:val="21"/>
                <w:shd w:val="clear" w:fill="FFFFFF"/>
              </w:rPr>
              <w:t>《地震安全性评价管理条例》（2019年修正版）第十六条：“国务院地震工作主管部门和县级以上地方人民政府负责管理地震工作的部门或者机构，应当会同有关专业主管部门，加强对地震安全性评价工作的监督检查。”</w:t>
            </w:r>
          </w:p>
          <w:p>
            <w:pPr>
              <w:widowControl/>
              <w:numPr>
                <w:ilvl w:val="0"/>
                <w:numId w:val="4"/>
              </w:numPr>
              <w:ind w:left="0" w:leftChars="0" w:firstLine="0" w:firstLineChars="0"/>
              <w:jc w:val="left"/>
              <w:rPr>
                <w:rFonts w:ascii="Arial" w:hAnsi="Arial" w:eastAsia="宋体" w:cs="Arial"/>
                <w:i w:val="0"/>
                <w:caps w:val="0"/>
                <w:color w:val="5C5C5C"/>
                <w:spacing w:val="0"/>
                <w:sz w:val="21"/>
                <w:szCs w:val="21"/>
                <w:shd w:val="clear" w:fill="FFFFFF"/>
              </w:rPr>
            </w:pPr>
            <w:r>
              <w:rPr>
                <w:rFonts w:ascii="Arial" w:hAnsi="Arial" w:eastAsia="宋体" w:cs="Arial"/>
                <w:i w:val="0"/>
                <w:caps w:val="0"/>
                <w:color w:val="5C5C5C"/>
                <w:spacing w:val="0"/>
                <w:sz w:val="21"/>
                <w:szCs w:val="21"/>
                <w:shd w:val="clear" w:fill="FFFFFF"/>
              </w:rPr>
              <w:t>《中国地震局关于取消地震安全性评价单位资质认定审批后加强事中事后监管的公告》（中国地震局公告第29号）：“三、加大监督检查力度中国地震局统筹指导全国地震安全性评价单位从业活动的监督管理，完善相关制度；省级地震部门拟定年度监督检查计划，县级以上地方人民政府负责管理地震工作的部门或者机构切实履行对本行政区域内地震安全性评价单位从业活动的监督管理职责，加强与本级人民政府项目审批部门、行业主管部门协调配合，按照“双随机、一公开”等要求，对地震安全性评价单位开展监督检查，加强事中事后监管，检查结果及时向社会公布。”</w:t>
            </w:r>
          </w:p>
          <w:p>
            <w:pPr>
              <w:widowControl/>
              <w:numPr>
                <w:ilvl w:val="0"/>
                <w:numId w:val="4"/>
              </w:numPr>
              <w:ind w:left="0" w:leftChars="0" w:firstLine="0" w:firstLineChars="0"/>
              <w:jc w:val="left"/>
              <w:rPr>
                <w:rFonts w:ascii="Arial" w:hAnsi="Arial" w:eastAsia="宋体" w:cs="Arial"/>
                <w:i w:val="0"/>
                <w:caps w:val="0"/>
                <w:color w:val="5C5C5C"/>
                <w:spacing w:val="0"/>
                <w:sz w:val="21"/>
                <w:szCs w:val="21"/>
                <w:shd w:val="clear" w:fill="FFFFFF"/>
              </w:rPr>
            </w:pPr>
            <w:r>
              <w:rPr>
                <w:rFonts w:ascii="Arial" w:hAnsi="Arial" w:eastAsia="宋体" w:cs="Arial"/>
                <w:i w:val="0"/>
                <w:caps w:val="0"/>
                <w:color w:val="5C5C5C"/>
                <w:spacing w:val="0"/>
                <w:sz w:val="21"/>
                <w:szCs w:val="21"/>
                <w:shd w:val="clear" w:fill="FFFFFF"/>
              </w:rPr>
              <w:t>关于印发《地震安全性评价管理办法（暂行）》的通知（中震防发〔2017〕10号）第二十三条：“国务院地震工作主管部门和县级以上地方人民政府负责管理地震工作的部门或者机构，应当会同本级人民政府有关部门，加强对建设单位、评价单位或者机构和技术审查机构的监督检查，建立地震安全性评价工作的诚信体系，并及时公开信用信息。”</w:t>
            </w:r>
          </w:p>
          <w:p>
            <w:pPr>
              <w:widowControl/>
              <w:numPr>
                <w:ilvl w:val="0"/>
                <w:numId w:val="4"/>
              </w:numPr>
              <w:ind w:left="0" w:leftChars="0" w:firstLine="0" w:firstLineChars="0"/>
              <w:jc w:val="left"/>
              <w:rPr>
                <w:rFonts w:hint="eastAsia" w:ascii="Arial" w:hAnsi="Arial" w:eastAsia="宋体" w:cs="Arial"/>
                <w:i w:val="0"/>
                <w:caps w:val="0"/>
                <w:color w:val="5C5C5C"/>
                <w:spacing w:val="0"/>
                <w:sz w:val="21"/>
                <w:szCs w:val="21"/>
                <w:shd w:val="clear" w:fill="FFFFFF"/>
                <w:lang w:val="en-US" w:eastAsia="zh-CN"/>
              </w:rPr>
            </w:pPr>
            <w:r>
              <w:rPr>
                <w:rFonts w:ascii="Arial" w:hAnsi="Arial" w:eastAsia="宋体" w:cs="Arial"/>
                <w:i w:val="0"/>
                <w:caps w:val="0"/>
                <w:color w:val="5C5C5C"/>
                <w:spacing w:val="0"/>
                <w:sz w:val="21"/>
                <w:szCs w:val="21"/>
                <w:shd w:val="clear" w:fill="FFFFFF"/>
              </w:rPr>
              <w:t>《地震安全性评价管理条例》（2019年修正版）第十七条：“违反本条例的规定，地震安全性评价单位有下列行为之一的，由国务院地震工作主管部门或者县级以上地方人民政府负责管理地震工作的部门或者机构依据职权，责令改正，没收违法所得，并处1万元以上5万元以下的罚款：（一）以其他地震安全性评价单位的名义承揽地震安全性评价业务的；（二）允许其他单位以本单位名义承揽地震安全性评价业务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1" w:hRule="atLeast"/>
        </w:trPr>
        <w:tc>
          <w:tcPr>
            <w:tcW w:w="472" w:type="dxa"/>
            <w:vAlign w:val="center"/>
          </w:tcPr>
          <w:p>
            <w:pPr>
              <w:pStyle w:val="9"/>
              <w:widowControl/>
              <w:numPr>
                <w:ilvl w:val="0"/>
                <w:numId w:val="0"/>
              </w:numPr>
              <w:spacing w:after="240"/>
              <w:ind w:leftChars="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5</w:t>
            </w:r>
          </w:p>
        </w:tc>
        <w:tc>
          <w:tcPr>
            <w:tcW w:w="2807" w:type="dxa"/>
            <w:shd w:val="clear" w:color="auto" w:fill="auto"/>
            <w:vAlign w:val="center"/>
          </w:tcPr>
          <w:p>
            <w:pPr>
              <w:widowControl/>
              <w:spacing w:after="240"/>
              <w:jc w:val="center"/>
              <w:rPr>
                <w:rFonts w:cs="宋体" w:asciiTheme="minorEastAsia" w:hAnsiTheme="minorEastAsia"/>
                <w:kern w:val="0"/>
                <w:szCs w:val="21"/>
              </w:rPr>
            </w:pPr>
            <w:r>
              <w:rPr>
                <w:rFonts w:ascii="Arial" w:hAnsi="Arial" w:eastAsia="宋体" w:cs="Arial"/>
                <w:i w:val="0"/>
                <w:caps w:val="0"/>
                <w:color w:val="5C5C5C"/>
                <w:spacing w:val="0"/>
                <w:sz w:val="21"/>
                <w:szCs w:val="21"/>
                <w:shd w:val="clear" w:fill="FFFFFF"/>
              </w:rPr>
              <w:t>对侵占、毁损、拆除或者擅自移动地震监测设施，危害地震观测环境，破坏典型地震遗址、遗迹行为的监管</w:t>
            </w:r>
          </w:p>
        </w:tc>
        <w:tc>
          <w:tcPr>
            <w:tcW w:w="10861" w:type="dxa"/>
            <w:shd w:val="clear" w:color="auto" w:fill="auto"/>
            <w:vAlign w:val="center"/>
          </w:tcPr>
          <w:p>
            <w:pPr>
              <w:widowControl/>
              <w:numPr>
                <w:ilvl w:val="0"/>
                <w:numId w:val="0"/>
              </w:numPr>
              <w:ind w:leftChars="0"/>
              <w:jc w:val="left"/>
              <w:rPr>
                <w:rFonts w:ascii="Arial" w:hAnsi="Arial" w:eastAsia="宋体" w:cs="Arial"/>
                <w:i w:val="0"/>
                <w:caps w:val="0"/>
                <w:color w:val="5C5C5C"/>
                <w:spacing w:val="0"/>
                <w:sz w:val="21"/>
                <w:szCs w:val="21"/>
                <w:shd w:val="clear" w:fill="FFFFFF"/>
              </w:rPr>
            </w:pPr>
            <w:r>
              <w:rPr>
                <w:rFonts w:hint="eastAsia" w:ascii="Arial" w:hAnsi="Arial" w:eastAsia="宋体" w:cs="Arial"/>
                <w:i w:val="0"/>
                <w:caps w:val="0"/>
                <w:color w:val="5C5C5C"/>
                <w:spacing w:val="0"/>
                <w:sz w:val="21"/>
                <w:szCs w:val="21"/>
                <w:shd w:val="clear" w:fill="FFFFFF"/>
                <w:lang w:val="en-US" w:eastAsia="zh-CN"/>
              </w:rPr>
              <w:t>1、</w:t>
            </w:r>
            <w:r>
              <w:rPr>
                <w:rFonts w:ascii="Arial" w:hAnsi="Arial" w:eastAsia="宋体" w:cs="Arial"/>
                <w:i w:val="0"/>
                <w:caps w:val="0"/>
                <w:color w:val="5C5C5C"/>
                <w:spacing w:val="0"/>
                <w:sz w:val="21"/>
                <w:szCs w:val="21"/>
                <w:shd w:val="clear" w:fill="FFFFFF"/>
              </w:rPr>
              <w:t>《中华人民共和国防震减灾法》第八十四条：“违反本法规定，有下列行为之一的，由国务院地震工作主管部门或者县级以上地方人民政府负责管理地震工作的部门或者机构责令停止违法行为，恢复原状或者采取其他补救措施；造成损失的，依法承担赔偿责任：（一）侵占、毁损、拆除或者擅自移动地震监测设施的；（二）危害地震观测环境的；（三）破坏典型地震遗址、遗迹的。单位有前款所列违法行为，情节严重的，处二万元以上二十万元以下的罚款；个人有前款所列违法行为，情节严重的，处二千元以下的罚款。构成违反治安管理行为的，由公安机关依法给予处罚。”</w:t>
            </w:r>
          </w:p>
          <w:p>
            <w:pPr>
              <w:widowControl/>
              <w:numPr>
                <w:ilvl w:val="0"/>
                <w:numId w:val="0"/>
              </w:numPr>
              <w:ind w:leftChars="0"/>
              <w:jc w:val="left"/>
              <w:rPr>
                <w:rFonts w:ascii="Arial" w:hAnsi="Arial" w:eastAsia="宋体" w:cs="Arial"/>
                <w:i w:val="0"/>
                <w:caps w:val="0"/>
                <w:color w:val="5C5C5C"/>
                <w:spacing w:val="0"/>
                <w:sz w:val="21"/>
                <w:szCs w:val="21"/>
                <w:shd w:val="clear" w:fill="FFFFFF"/>
              </w:rPr>
            </w:pPr>
            <w:r>
              <w:rPr>
                <w:rFonts w:hint="eastAsia" w:ascii="Arial" w:hAnsi="Arial" w:eastAsia="宋体" w:cs="Arial"/>
                <w:i w:val="0"/>
                <w:caps w:val="0"/>
                <w:color w:val="5C5C5C"/>
                <w:spacing w:val="0"/>
                <w:sz w:val="21"/>
                <w:szCs w:val="21"/>
                <w:shd w:val="clear" w:fill="FFFFFF"/>
                <w:lang w:val="en-US" w:eastAsia="zh-CN"/>
              </w:rPr>
              <w:t>2、</w:t>
            </w:r>
            <w:r>
              <w:rPr>
                <w:rFonts w:ascii="Arial" w:hAnsi="Arial" w:eastAsia="宋体" w:cs="Arial"/>
                <w:i w:val="0"/>
                <w:caps w:val="0"/>
                <w:color w:val="5C5C5C"/>
                <w:spacing w:val="0"/>
                <w:sz w:val="21"/>
                <w:szCs w:val="21"/>
                <w:shd w:val="clear" w:fill="FFFFFF"/>
              </w:rPr>
              <w:t>《地震监测管理条例》第二十六条：“禁止占用、拆除、损坏下列地震监测设施：（一）地震监测仪器、设备和装置；（二）供地震监测使用的山洞、观测井（泉）；（三）地震监测台网中心、中继站、遥测点的用房；（四）地震监测标志；（五）地震监测专用无线通信频段、信道和通信设施；（六）用于地震监测的供电、供水设施。”</w:t>
            </w:r>
          </w:p>
          <w:p>
            <w:pPr>
              <w:widowControl/>
              <w:numPr>
                <w:ilvl w:val="0"/>
                <w:numId w:val="0"/>
              </w:numPr>
              <w:ind w:leftChars="0"/>
              <w:jc w:val="left"/>
              <w:rPr>
                <w:rFonts w:ascii="Arial" w:hAnsi="Arial" w:eastAsia="宋体" w:cs="Arial"/>
                <w:i w:val="0"/>
                <w:caps w:val="0"/>
                <w:color w:val="5C5C5C"/>
                <w:spacing w:val="0"/>
                <w:sz w:val="21"/>
                <w:szCs w:val="21"/>
                <w:shd w:val="clear" w:fill="FFFFFF"/>
              </w:rPr>
            </w:pPr>
            <w:r>
              <w:rPr>
                <w:rFonts w:ascii="Arial" w:hAnsi="Arial" w:eastAsia="宋体" w:cs="Arial"/>
                <w:i w:val="0"/>
                <w:caps w:val="0"/>
                <w:color w:val="5C5C5C"/>
                <w:spacing w:val="0"/>
                <w:sz w:val="21"/>
                <w:szCs w:val="21"/>
                <w:shd w:val="clear" w:fill="FFFFFF"/>
              </w:rPr>
              <w:t>3、《地震监测管理条例》第二十八条：“除依法从事本条例第三十二条、第三十三条规定的建设活动外，禁止在已划定的地震观测环境保护范围内从事下列活动：（一）爆破、采矿、采石、钻井、抽水、注水；（二）在测震观测环境保护范围内设置无线信号发射装置、进行振动作业和往复机械运动；（三）在电磁观测环境保护范围内铺设金属管线、电力电缆线路、堆放磁性物品和设置高频电磁辐射装置；（四）在地形变观测环境保护范围内进行振动作业；（五）在地下流体观测环境保护范围内堆积和填埋垃圾、进行污水处理；（六）在观测线和观测标志周围设置障碍物或者擅自移动地震观测标志。”4、《地震监测管理条例》第三十六条：“有本条例第二十六条、第二十八条所列行为之一的，由国务院地震工作主管部门或者县级以上地方人民政府负责管理地震工作的部门或者机构给予警告，责令停止违法行为，对个人可以处5000元以下的罚款，对单位处2万元以上10万元以下的罚款；构成犯罪的，依法追究刑事责任；造成损失的，依法承担赔偿责任。”</w:t>
            </w:r>
          </w:p>
          <w:p>
            <w:pPr>
              <w:widowControl/>
              <w:numPr>
                <w:ilvl w:val="0"/>
                <w:numId w:val="0"/>
              </w:numPr>
              <w:ind w:leftChars="0"/>
              <w:jc w:val="left"/>
              <w:rPr>
                <w:rFonts w:hint="eastAsia" w:ascii="Arial" w:hAnsi="Arial" w:eastAsia="宋体" w:cs="Arial"/>
                <w:i w:val="0"/>
                <w:caps w:val="0"/>
                <w:color w:val="5C5C5C"/>
                <w:spacing w:val="0"/>
                <w:sz w:val="21"/>
                <w:szCs w:val="21"/>
                <w:shd w:val="clear" w:fill="FFFFFF"/>
                <w:lang w:val="en-US" w:eastAsia="zh-CN"/>
              </w:rPr>
            </w:pPr>
            <w:r>
              <w:rPr>
                <w:rFonts w:hint="eastAsia" w:ascii="Arial" w:hAnsi="Arial" w:eastAsia="宋体" w:cs="Arial"/>
                <w:i w:val="0"/>
                <w:caps w:val="0"/>
                <w:color w:val="5C5C5C"/>
                <w:spacing w:val="0"/>
                <w:sz w:val="21"/>
                <w:szCs w:val="21"/>
                <w:shd w:val="clear" w:fill="FFFFFF"/>
                <w:lang w:val="en-US" w:eastAsia="zh-CN"/>
              </w:rPr>
              <w:t>4、</w:t>
            </w:r>
            <w:r>
              <w:rPr>
                <w:rFonts w:ascii="Arial" w:hAnsi="Arial" w:eastAsia="宋体" w:cs="Arial"/>
                <w:i w:val="0"/>
                <w:caps w:val="0"/>
                <w:color w:val="5C5C5C"/>
                <w:spacing w:val="0"/>
                <w:sz w:val="21"/>
                <w:szCs w:val="21"/>
                <w:shd w:val="clear" w:fill="FFFFFF"/>
              </w:rPr>
              <w:t>《地震监测管理条例》第五条：“国务院地震工作主管部门负责全国地震监测的监督管理工作。县级以上地方人民政府负责管理地震工作的部门或者机构，负责本行政区域内地震监测的监督管理工作。”《中华人民共和国防震减灾法》、《地震监测管理条例》已设定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0" w:hRule="atLeast"/>
        </w:trPr>
        <w:tc>
          <w:tcPr>
            <w:tcW w:w="472" w:type="dxa"/>
            <w:vAlign w:val="center"/>
          </w:tcPr>
          <w:p>
            <w:pPr>
              <w:widowControl/>
              <w:spacing w:after="240"/>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2807" w:type="dxa"/>
            <w:shd w:val="clear" w:color="auto" w:fill="auto"/>
            <w:vAlign w:val="center"/>
          </w:tcPr>
          <w:p>
            <w:pPr>
              <w:widowControl/>
              <w:spacing w:after="240"/>
              <w:jc w:val="center"/>
              <w:rPr>
                <w:rFonts w:cs="宋体" w:asciiTheme="minorEastAsia" w:hAnsiTheme="minorEastAsia"/>
                <w:kern w:val="0"/>
                <w:szCs w:val="21"/>
              </w:rPr>
            </w:pPr>
            <w:r>
              <w:rPr>
                <w:rFonts w:ascii="宋体" w:hAnsi="宋体" w:eastAsia="宋体" w:cs="宋体"/>
                <w:sz w:val="24"/>
                <w:szCs w:val="24"/>
              </w:rPr>
              <w:br w:type="textWrapping"/>
            </w:r>
            <w:r>
              <w:rPr>
                <w:rFonts w:ascii="Arial" w:hAnsi="Arial" w:eastAsia="宋体" w:cs="Arial"/>
                <w:i w:val="0"/>
                <w:caps w:val="0"/>
                <w:color w:val="5C5C5C"/>
                <w:spacing w:val="0"/>
                <w:sz w:val="21"/>
                <w:szCs w:val="21"/>
                <w:shd w:val="clear" w:fill="FFFFFF"/>
              </w:rPr>
              <w:t>对专用地震监测台网建设的监管</w:t>
            </w:r>
          </w:p>
        </w:tc>
        <w:tc>
          <w:tcPr>
            <w:tcW w:w="10861" w:type="dxa"/>
            <w:shd w:val="clear" w:color="auto" w:fill="auto"/>
            <w:vAlign w:val="center"/>
          </w:tcPr>
          <w:p>
            <w:pPr>
              <w:widowControl/>
              <w:numPr>
                <w:ilvl w:val="0"/>
                <w:numId w:val="5"/>
              </w:numPr>
              <w:ind w:leftChars="0"/>
              <w:jc w:val="left"/>
              <w:rPr>
                <w:rFonts w:ascii="Arial" w:hAnsi="Arial" w:eastAsia="宋体" w:cs="Arial"/>
                <w:i w:val="0"/>
                <w:caps w:val="0"/>
                <w:color w:val="5C5C5C"/>
                <w:spacing w:val="0"/>
                <w:sz w:val="21"/>
                <w:szCs w:val="21"/>
                <w:shd w:val="clear" w:fill="FFFFFF"/>
              </w:rPr>
            </w:pPr>
            <w:r>
              <w:rPr>
                <w:rFonts w:ascii="Arial" w:hAnsi="Arial" w:eastAsia="宋体" w:cs="Arial"/>
                <w:i w:val="0"/>
                <w:caps w:val="0"/>
                <w:color w:val="5C5C5C"/>
                <w:spacing w:val="0"/>
                <w:sz w:val="21"/>
                <w:szCs w:val="21"/>
                <w:shd w:val="clear" w:fill="FFFFFF"/>
              </w:rPr>
              <w:t>《中华人民共和国防震减灾法》第八十三条：“未按照法律、法规和国家有关标准进行地震监测台网建设的，由国务院地震工作主管部门或者县级以上地方人民政府负责管理地震工作的部门或者机构责令改正，采取相应的补救措施；对直接负责的主管人员和其他直接责任人员，依法给予处分。”</w:t>
            </w:r>
          </w:p>
          <w:p>
            <w:pPr>
              <w:widowControl/>
              <w:numPr>
                <w:ilvl w:val="0"/>
                <w:numId w:val="5"/>
              </w:numPr>
              <w:ind w:left="0" w:leftChars="0" w:firstLine="0" w:firstLineChars="0"/>
              <w:jc w:val="left"/>
              <w:rPr>
                <w:rFonts w:ascii="Arial" w:hAnsi="Arial" w:eastAsia="宋体" w:cs="Arial"/>
                <w:i w:val="0"/>
                <w:caps w:val="0"/>
                <w:color w:val="5C5C5C"/>
                <w:spacing w:val="0"/>
                <w:sz w:val="21"/>
                <w:szCs w:val="21"/>
                <w:shd w:val="clear" w:fill="FFFFFF"/>
              </w:rPr>
            </w:pPr>
            <w:r>
              <w:rPr>
                <w:rFonts w:ascii="Arial" w:hAnsi="Arial" w:eastAsia="宋体" w:cs="Arial"/>
                <w:i w:val="0"/>
                <w:caps w:val="0"/>
                <w:color w:val="5C5C5C"/>
                <w:spacing w:val="0"/>
                <w:sz w:val="21"/>
                <w:szCs w:val="21"/>
                <w:shd w:val="clear" w:fill="FFFFFF"/>
              </w:rPr>
              <w:t>《地震监测管理条例》第三十五条第一项、第二项：“违反本条例的规定，有下列行为之一的，由国务院地震工作主管部门或者县级以上地方人民政府负责管理地震工作的部门或者机构责令改正，并要求采取相应的补救措施，对主管人员和其他直接责任人员，依法给予行政处分：（一）未按照有关法律、法规和国家有关标准进行地震监测台网建设的；（二）未按照国务院地震工作主管部门的规定采用地震监测设备和软件的；”</w:t>
            </w:r>
          </w:p>
          <w:p>
            <w:pPr>
              <w:widowControl/>
              <w:numPr>
                <w:ilvl w:val="0"/>
                <w:numId w:val="0"/>
              </w:numPr>
              <w:ind w:leftChars="0"/>
              <w:jc w:val="left"/>
              <w:rPr>
                <w:rFonts w:hint="eastAsia" w:ascii="Arial" w:hAnsi="Arial" w:eastAsia="宋体" w:cs="Arial"/>
                <w:i w:val="0"/>
                <w:caps w:val="0"/>
                <w:color w:val="5C5C5C"/>
                <w:spacing w:val="0"/>
                <w:sz w:val="21"/>
                <w:szCs w:val="21"/>
                <w:shd w:val="clear" w:fill="FFFFFF"/>
                <w:lang w:val="en-US" w:eastAsia="zh-CN"/>
              </w:rPr>
            </w:pPr>
            <w:r>
              <w:rPr>
                <w:rFonts w:ascii="Arial" w:hAnsi="Arial" w:eastAsia="宋体" w:cs="Arial"/>
                <w:i w:val="0"/>
                <w:caps w:val="0"/>
                <w:color w:val="5C5C5C"/>
                <w:spacing w:val="0"/>
                <w:sz w:val="21"/>
                <w:szCs w:val="21"/>
                <w:shd w:val="clear" w:fill="FFFFFF"/>
              </w:rPr>
              <w:t>3、《水库地震监测管理办法》第三条第一款、第二款：“国务院地震工作主管部门负责全国水库地震监测的业务指导和监督管理工作。县级以上地方人民政府负责管理地震工作的部门或者机构，负责本行政区域的水库地震监测的业务指导和监督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9" w:hRule="atLeast"/>
        </w:trPr>
        <w:tc>
          <w:tcPr>
            <w:tcW w:w="472" w:type="dxa"/>
            <w:vAlign w:val="center"/>
          </w:tcPr>
          <w:p>
            <w:pPr>
              <w:widowControl/>
              <w:spacing w:after="240"/>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2807" w:type="dxa"/>
            <w:shd w:val="clear" w:color="auto" w:fill="auto"/>
            <w:vAlign w:val="center"/>
          </w:tcPr>
          <w:p>
            <w:pPr>
              <w:widowControl/>
              <w:spacing w:after="240"/>
              <w:jc w:val="center"/>
              <w:rPr>
                <w:rFonts w:cs="宋体" w:asciiTheme="minorEastAsia" w:hAnsiTheme="minorEastAsia"/>
                <w:kern w:val="0"/>
                <w:szCs w:val="21"/>
              </w:rPr>
            </w:pPr>
            <w:r>
              <w:rPr>
                <w:rFonts w:ascii="Arial" w:hAnsi="Arial" w:eastAsia="宋体" w:cs="Arial"/>
                <w:i w:val="0"/>
                <w:caps w:val="0"/>
                <w:color w:val="5C5C5C"/>
                <w:spacing w:val="0"/>
                <w:sz w:val="21"/>
                <w:szCs w:val="21"/>
                <w:shd w:val="clear" w:fill="FFFFFF"/>
              </w:rPr>
              <w:t>对有关单位的防震减灾知识宣传教育工作的监管</w:t>
            </w:r>
          </w:p>
        </w:tc>
        <w:tc>
          <w:tcPr>
            <w:tcW w:w="10861" w:type="dxa"/>
            <w:shd w:val="clear" w:color="auto" w:fill="auto"/>
            <w:vAlign w:val="center"/>
          </w:tcPr>
          <w:p>
            <w:pPr>
              <w:widowControl/>
              <w:numPr>
                <w:ilvl w:val="0"/>
                <w:numId w:val="6"/>
              </w:numPr>
              <w:ind w:leftChars="0"/>
              <w:jc w:val="left"/>
              <w:rPr>
                <w:rFonts w:ascii="Arial" w:hAnsi="Arial" w:eastAsia="宋体" w:cs="Arial"/>
                <w:i w:val="0"/>
                <w:caps w:val="0"/>
                <w:color w:val="5C5C5C"/>
                <w:spacing w:val="0"/>
                <w:sz w:val="21"/>
                <w:szCs w:val="21"/>
                <w:shd w:val="clear" w:fill="FFFFFF"/>
              </w:rPr>
            </w:pPr>
            <w:r>
              <w:rPr>
                <w:rFonts w:ascii="Arial" w:hAnsi="Arial" w:eastAsia="宋体" w:cs="Arial"/>
                <w:i w:val="0"/>
                <w:caps w:val="0"/>
                <w:color w:val="5C5C5C"/>
                <w:spacing w:val="0"/>
                <w:sz w:val="21"/>
                <w:szCs w:val="21"/>
                <w:shd w:val="clear" w:fill="FFFFFF"/>
              </w:rPr>
              <w:t>《中华人民共和国防震减灾法》第四十四条第五款：“国务院地震工作主管部门和县级以上地方人民政府负责管理地震工作的部门或者机构，应当指导、协助、督促有关单位做好防震减灾知识的宣传教育和地震应急救援演练等工作。”</w:t>
            </w:r>
          </w:p>
          <w:p>
            <w:pPr>
              <w:widowControl/>
              <w:numPr>
                <w:ilvl w:val="0"/>
                <w:numId w:val="0"/>
              </w:numPr>
              <w:jc w:val="left"/>
              <w:rPr>
                <w:rFonts w:hint="eastAsia" w:ascii="Arial" w:hAnsi="Arial" w:eastAsia="宋体" w:cs="Arial"/>
                <w:i w:val="0"/>
                <w:caps w:val="0"/>
                <w:color w:val="5C5C5C"/>
                <w:spacing w:val="0"/>
                <w:sz w:val="21"/>
                <w:szCs w:val="21"/>
                <w:shd w:val="clear" w:fill="FFFFFF"/>
                <w:lang w:val="en-US" w:eastAsia="zh-CN"/>
              </w:rPr>
            </w:pPr>
            <w:r>
              <w:rPr>
                <w:rFonts w:ascii="Arial" w:hAnsi="Arial" w:eastAsia="宋体" w:cs="Arial"/>
                <w:i w:val="0"/>
                <w:caps w:val="0"/>
                <w:color w:val="5C5C5C"/>
                <w:spacing w:val="0"/>
                <w:sz w:val="21"/>
                <w:szCs w:val="21"/>
                <w:shd w:val="clear" w:fill="FFFFFF"/>
              </w:rPr>
              <w:t>2、《中华人民共和国防震减灾法》第七十五条：“县级以上人民政府依法加强对防震减灾规划和地震应急预案的编制与实施、地震应急避难场所的设置与管理、地震灾害紧急救援队伍的培训、防震减灾知识宣传教育和地震应急救援演练等工作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472" w:type="dxa"/>
            <w:vAlign w:val="center"/>
          </w:tcPr>
          <w:p>
            <w:pPr>
              <w:widowControl/>
              <w:spacing w:after="240"/>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2807" w:type="dxa"/>
            <w:shd w:val="clear" w:color="auto" w:fill="auto"/>
            <w:vAlign w:val="center"/>
          </w:tcPr>
          <w:p>
            <w:pPr>
              <w:widowControl/>
              <w:spacing w:after="240"/>
              <w:jc w:val="center"/>
              <w:rPr>
                <w:rFonts w:cs="宋体" w:asciiTheme="minorEastAsia" w:hAnsiTheme="minorEastAsia"/>
                <w:kern w:val="0"/>
                <w:szCs w:val="21"/>
              </w:rPr>
            </w:pPr>
            <w:r>
              <w:rPr>
                <w:rFonts w:ascii="Arial" w:hAnsi="Arial" w:eastAsia="宋体" w:cs="Arial"/>
                <w:i w:val="0"/>
                <w:caps w:val="0"/>
                <w:color w:val="5C5C5C"/>
                <w:spacing w:val="0"/>
                <w:sz w:val="21"/>
                <w:szCs w:val="21"/>
                <w:shd w:val="clear" w:fill="FFFFFF"/>
              </w:rPr>
              <w:t>地震动参数复核和地震小区划结果执行的监管</w:t>
            </w:r>
          </w:p>
        </w:tc>
        <w:tc>
          <w:tcPr>
            <w:tcW w:w="10861" w:type="dxa"/>
            <w:shd w:val="clear" w:color="auto" w:fill="auto"/>
            <w:vAlign w:val="center"/>
          </w:tcPr>
          <w:p>
            <w:pPr>
              <w:widowControl/>
              <w:numPr>
                <w:ilvl w:val="0"/>
                <w:numId w:val="7"/>
              </w:numPr>
              <w:ind w:leftChars="0"/>
              <w:jc w:val="left"/>
              <w:rPr>
                <w:rFonts w:ascii="Arial" w:hAnsi="Arial" w:eastAsia="宋体" w:cs="Arial"/>
                <w:i w:val="0"/>
                <w:caps w:val="0"/>
                <w:color w:val="5C5C5C"/>
                <w:spacing w:val="0"/>
                <w:sz w:val="21"/>
                <w:szCs w:val="21"/>
                <w:shd w:val="clear" w:fill="FFFFFF"/>
              </w:rPr>
            </w:pPr>
            <w:r>
              <w:rPr>
                <w:rFonts w:ascii="Arial" w:hAnsi="Arial" w:eastAsia="宋体" w:cs="Arial"/>
                <w:i w:val="0"/>
                <w:caps w:val="0"/>
                <w:color w:val="5C5C5C"/>
                <w:spacing w:val="0"/>
                <w:sz w:val="21"/>
                <w:szCs w:val="21"/>
                <w:shd w:val="clear" w:fill="FFFFFF"/>
              </w:rPr>
              <w:t>《中华人民共和国防震减灾法》第七十六条：“县级以上人民政府建设、交通、铁路、水利、电力、地震等有关部门应当按照职责分工，加强对工程建设强制性标准、抗震设防要求执行情况和地震安全性评价工作的监督检查。”</w:t>
            </w:r>
          </w:p>
          <w:p>
            <w:pPr>
              <w:widowControl/>
              <w:numPr>
                <w:ilvl w:val="0"/>
                <w:numId w:val="7"/>
              </w:numPr>
              <w:ind w:left="0" w:leftChars="0" w:firstLine="0" w:firstLineChars="0"/>
              <w:jc w:val="left"/>
              <w:rPr>
                <w:rFonts w:ascii="Arial" w:hAnsi="Arial" w:eastAsia="宋体" w:cs="Arial"/>
                <w:i w:val="0"/>
                <w:caps w:val="0"/>
                <w:color w:val="5C5C5C"/>
                <w:spacing w:val="0"/>
                <w:sz w:val="21"/>
                <w:szCs w:val="21"/>
                <w:shd w:val="clear" w:fill="FFFFFF"/>
              </w:rPr>
            </w:pPr>
            <w:r>
              <w:rPr>
                <w:rFonts w:ascii="Arial" w:hAnsi="Arial" w:eastAsia="宋体" w:cs="Arial"/>
                <w:i w:val="0"/>
                <w:caps w:val="0"/>
                <w:color w:val="5C5C5C"/>
                <w:spacing w:val="0"/>
                <w:sz w:val="21"/>
                <w:szCs w:val="21"/>
                <w:shd w:val="clear" w:fill="FFFFFF"/>
              </w:rPr>
              <w:t>《建设工程抗震设防要求管理规定》（中国地震局令第7号）第十三条：“经过地震动参数复核或者地震小区划工作的区域内不需要进行地震安全性评价的建设工程，必须按照地震动参数复核或者地震小区划结果确定的抗震设防要求进行抗震设防。”</w:t>
            </w:r>
          </w:p>
          <w:p>
            <w:pPr>
              <w:widowControl/>
              <w:numPr>
                <w:ilvl w:val="0"/>
                <w:numId w:val="7"/>
              </w:numPr>
              <w:ind w:left="0" w:leftChars="0" w:firstLine="0" w:firstLineChars="0"/>
              <w:jc w:val="left"/>
              <w:rPr>
                <w:rFonts w:ascii="Arial" w:hAnsi="Arial" w:eastAsia="宋体" w:cs="Arial"/>
                <w:i w:val="0"/>
                <w:caps w:val="0"/>
                <w:color w:val="5C5C5C"/>
                <w:spacing w:val="0"/>
                <w:sz w:val="21"/>
                <w:szCs w:val="21"/>
                <w:shd w:val="clear" w:fill="FFFFFF"/>
              </w:rPr>
            </w:pPr>
            <w:r>
              <w:rPr>
                <w:rFonts w:ascii="Arial" w:hAnsi="Arial" w:eastAsia="宋体" w:cs="Arial"/>
                <w:i w:val="0"/>
                <w:caps w:val="0"/>
                <w:color w:val="5C5C5C"/>
                <w:spacing w:val="0"/>
                <w:sz w:val="21"/>
                <w:szCs w:val="21"/>
                <w:shd w:val="clear" w:fill="FFFFFF"/>
              </w:rPr>
              <w:t>《建设工程抗震设防要求管理规定》（中国地震局令第7号）第十四条：“国务院地震工作主管部门和县级以上地方人民政府负责管理地震工作的部门或者机构，应当会同同级政府有关行业主管部门，加强对建设工程抗震设防要求使用的监督检查，确保建设工程按照抗震设防要求进行抗震设防。”</w:t>
            </w:r>
          </w:p>
          <w:p>
            <w:pPr>
              <w:widowControl/>
              <w:numPr>
                <w:ilvl w:val="0"/>
                <w:numId w:val="7"/>
              </w:numPr>
              <w:ind w:left="0" w:leftChars="0" w:firstLine="0" w:firstLineChars="0"/>
              <w:jc w:val="left"/>
              <w:rPr>
                <w:rFonts w:ascii="Arial" w:hAnsi="Arial" w:eastAsia="宋体" w:cs="Arial"/>
                <w:i w:val="0"/>
                <w:caps w:val="0"/>
                <w:color w:val="5C5C5C"/>
                <w:spacing w:val="0"/>
                <w:sz w:val="21"/>
                <w:szCs w:val="21"/>
                <w:shd w:val="clear" w:fill="FFFFFF"/>
              </w:rPr>
            </w:pPr>
            <w:r>
              <w:rPr>
                <w:rFonts w:ascii="Arial" w:hAnsi="Arial" w:eastAsia="宋体" w:cs="Arial"/>
                <w:i w:val="0"/>
                <w:caps w:val="0"/>
                <w:color w:val="5C5C5C"/>
                <w:spacing w:val="0"/>
                <w:sz w:val="21"/>
                <w:szCs w:val="21"/>
                <w:shd w:val="clear" w:fill="FFFFFF"/>
              </w:rPr>
              <w:t>《建设工程抗震设防要求管理规定》（中国地震局令第7号）第十七条：“建设单位违反本规定第十三条的规定，由国务院地震工作主管部门或者县级以上地方人民政府负责管理地震工作的部门或者机构，责令改正，并处5000元以上30000元以下的罚款。”</w:t>
            </w:r>
          </w:p>
          <w:p>
            <w:pPr>
              <w:widowControl/>
              <w:numPr>
                <w:ilvl w:val="0"/>
                <w:numId w:val="7"/>
              </w:numPr>
              <w:ind w:left="0" w:leftChars="0" w:firstLine="0" w:firstLineChars="0"/>
              <w:jc w:val="left"/>
              <w:rPr>
                <w:rFonts w:hint="eastAsia" w:ascii="Arial" w:hAnsi="Arial" w:eastAsia="宋体" w:cs="Arial"/>
                <w:i w:val="0"/>
                <w:caps w:val="0"/>
                <w:color w:val="5C5C5C"/>
                <w:spacing w:val="0"/>
                <w:sz w:val="21"/>
                <w:szCs w:val="21"/>
                <w:shd w:val="clear" w:fill="FFFFFF"/>
                <w:lang w:val="en-US" w:eastAsia="zh-CN"/>
              </w:rPr>
            </w:pPr>
            <w:r>
              <w:rPr>
                <w:rFonts w:ascii="Arial" w:hAnsi="Arial" w:eastAsia="宋体" w:cs="Arial"/>
                <w:i w:val="0"/>
                <w:caps w:val="0"/>
                <w:color w:val="5C5C5C"/>
                <w:spacing w:val="0"/>
                <w:sz w:val="21"/>
                <w:szCs w:val="21"/>
                <w:shd w:val="clear" w:fill="FFFFFF"/>
              </w:rPr>
              <w:t>《建设工程抗震设防要求管理规定》（中国地震局令第7号）第十七条：“建设单位违反本规定第十三条的规定，由国务院地震工作主管部门或者县级以上地方人民政府负责管理地震工作的部门或者机构，责令改正，并处5000元以上30000元以下的罚款。”</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654DE8"/>
    <w:multiLevelType w:val="singleLevel"/>
    <w:tmpl w:val="AB654DE8"/>
    <w:lvl w:ilvl="0" w:tentative="0">
      <w:start w:val="1"/>
      <w:numFmt w:val="decimal"/>
      <w:suff w:val="nothing"/>
      <w:lvlText w:val="%1、"/>
      <w:lvlJc w:val="left"/>
    </w:lvl>
  </w:abstractNum>
  <w:abstractNum w:abstractNumId="1">
    <w:nsid w:val="BCE0A87F"/>
    <w:multiLevelType w:val="singleLevel"/>
    <w:tmpl w:val="BCE0A87F"/>
    <w:lvl w:ilvl="0" w:tentative="0">
      <w:start w:val="1"/>
      <w:numFmt w:val="decimal"/>
      <w:suff w:val="nothing"/>
      <w:lvlText w:val="%1、"/>
      <w:lvlJc w:val="left"/>
    </w:lvl>
  </w:abstractNum>
  <w:abstractNum w:abstractNumId="2">
    <w:nsid w:val="C2BAC890"/>
    <w:multiLevelType w:val="singleLevel"/>
    <w:tmpl w:val="C2BAC890"/>
    <w:lvl w:ilvl="0" w:tentative="0">
      <w:start w:val="1"/>
      <w:numFmt w:val="decimal"/>
      <w:suff w:val="nothing"/>
      <w:lvlText w:val="%1、"/>
      <w:lvlJc w:val="left"/>
    </w:lvl>
  </w:abstractNum>
  <w:abstractNum w:abstractNumId="3">
    <w:nsid w:val="EA68E89E"/>
    <w:multiLevelType w:val="singleLevel"/>
    <w:tmpl w:val="EA68E89E"/>
    <w:lvl w:ilvl="0" w:tentative="0">
      <w:start w:val="1"/>
      <w:numFmt w:val="decimal"/>
      <w:suff w:val="nothing"/>
      <w:lvlText w:val="%1、"/>
      <w:lvlJc w:val="left"/>
    </w:lvl>
  </w:abstractNum>
  <w:abstractNum w:abstractNumId="4">
    <w:nsid w:val="55896601"/>
    <w:multiLevelType w:val="singleLevel"/>
    <w:tmpl w:val="55896601"/>
    <w:lvl w:ilvl="0" w:tentative="0">
      <w:start w:val="2"/>
      <w:numFmt w:val="decimal"/>
      <w:suff w:val="nothing"/>
      <w:lvlText w:val="%1、"/>
      <w:lvlJc w:val="left"/>
    </w:lvl>
  </w:abstractNum>
  <w:abstractNum w:abstractNumId="5">
    <w:nsid w:val="694EF3FC"/>
    <w:multiLevelType w:val="singleLevel"/>
    <w:tmpl w:val="694EF3FC"/>
    <w:lvl w:ilvl="0" w:tentative="0">
      <w:start w:val="1"/>
      <w:numFmt w:val="decimal"/>
      <w:suff w:val="nothing"/>
      <w:lvlText w:val="%1、"/>
      <w:lvlJc w:val="left"/>
    </w:lvl>
  </w:abstractNum>
  <w:abstractNum w:abstractNumId="6">
    <w:nsid w:val="77C91E73"/>
    <w:multiLevelType w:val="singleLevel"/>
    <w:tmpl w:val="77C91E73"/>
    <w:lvl w:ilvl="0" w:tentative="0">
      <w:start w:val="1"/>
      <w:numFmt w:val="decimal"/>
      <w:suff w:val="nothing"/>
      <w:lvlText w:val="%1、"/>
      <w:lvlJc w:val="left"/>
    </w:lvl>
  </w:abstractNum>
  <w:num w:numId="1">
    <w:abstractNumId w:val="4"/>
  </w:num>
  <w:num w:numId="2">
    <w:abstractNumId w:val="5"/>
  </w:num>
  <w:num w:numId="3">
    <w:abstractNumId w:val="3"/>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4237D"/>
    <w:rsid w:val="00052378"/>
    <w:rsid w:val="00057A8E"/>
    <w:rsid w:val="000668F5"/>
    <w:rsid w:val="000B1EA4"/>
    <w:rsid w:val="000C2DA4"/>
    <w:rsid w:val="00133A01"/>
    <w:rsid w:val="001567DC"/>
    <w:rsid w:val="001A1A3E"/>
    <w:rsid w:val="001B4D82"/>
    <w:rsid w:val="001B6CA5"/>
    <w:rsid w:val="002526A0"/>
    <w:rsid w:val="00294F05"/>
    <w:rsid w:val="002A1675"/>
    <w:rsid w:val="002A3C04"/>
    <w:rsid w:val="00307604"/>
    <w:rsid w:val="003430A0"/>
    <w:rsid w:val="00396D8E"/>
    <w:rsid w:val="003D36C2"/>
    <w:rsid w:val="00411162"/>
    <w:rsid w:val="00427C19"/>
    <w:rsid w:val="0044237D"/>
    <w:rsid w:val="0044591A"/>
    <w:rsid w:val="00476D9A"/>
    <w:rsid w:val="005B6D5A"/>
    <w:rsid w:val="005C07B2"/>
    <w:rsid w:val="005C2355"/>
    <w:rsid w:val="006337F0"/>
    <w:rsid w:val="00695F45"/>
    <w:rsid w:val="006D1E7F"/>
    <w:rsid w:val="006F2A81"/>
    <w:rsid w:val="00754011"/>
    <w:rsid w:val="00773E4D"/>
    <w:rsid w:val="007B127D"/>
    <w:rsid w:val="007C2925"/>
    <w:rsid w:val="00804E02"/>
    <w:rsid w:val="008F3521"/>
    <w:rsid w:val="00963B1D"/>
    <w:rsid w:val="00991B2F"/>
    <w:rsid w:val="00A21B74"/>
    <w:rsid w:val="00A74813"/>
    <w:rsid w:val="00A913F6"/>
    <w:rsid w:val="00AC43E2"/>
    <w:rsid w:val="00AF0149"/>
    <w:rsid w:val="00B40C15"/>
    <w:rsid w:val="00B870F6"/>
    <w:rsid w:val="00B91024"/>
    <w:rsid w:val="00C11209"/>
    <w:rsid w:val="00C201DF"/>
    <w:rsid w:val="00C2230D"/>
    <w:rsid w:val="00C55F35"/>
    <w:rsid w:val="00C67AFE"/>
    <w:rsid w:val="00CA5F2B"/>
    <w:rsid w:val="00D16DF6"/>
    <w:rsid w:val="00D311BE"/>
    <w:rsid w:val="00E34EF3"/>
    <w:rsid w:val="00E61347"/>
    <w:rsid w:val="00E65D7A"/>
    <w:rsid w:val="00E94DB5"/>
    <w:rsid w:val="00F06D0D"/>
    <w:rsid w:val="00F476E2"/>
    <w:rsid w:val="00F60D1B"/>
    <w:rsid w:val="00F666F9"/>
    <w:rsid w:val="00F74AAA"/>
    <w:rsid w:val="00F94598"/>
    <w:rsid w:val="27FE1F89"/>
    <w:rsid w:val="33AB518F"/>
    <w:rsid w:val="3A014090"/>
    <w:rsid w:val="4366590E"/>
    <w:rsid w:val="52BD673D"/>
    <w:rsid w:val="63FF79F2"/>
    <w:rsid w:val="6FCC3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u w:val="single"/>
    </w:r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149</Words>
  <Characters>853</Characters>
  <Lines>7</Lines>
  <Paragraphs>1</Paragraphs>
  <TotalTime>9</TotalTime>
  <ScaleCrop>false</ScaleCrop>
  <LinksUpToDate>false</LinksUpToDate>
  <CharactersWithSpaces>1001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2020-09-18T09:17:00Z</dcterms:created>
  <dc:creator>NTKO</dc:creator>
  <cp:lastModifiedBy>WPS_1533876089</cp:lastModifiedBy>
  <dcterms:modified xsi:type="dcterms:W3CDTF">2023-12-29T05:55:45Z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